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6F" w:rsidRPr="00251CCF" w:rsidRDefault="00E8106F" w:rsidP="00095445">
      <w:pPr>
        <w:widowControl/>
        <w:tabs>
          <w:tab w:val="right" w:pos="6840"/>
        </w:tabs>
        <w:topLinePunct/>
        <w:adjustRightInd w:val="0"/>
        <w:rPr>
          <w:color w:val="auto"/>
        </w:rPr>
      </w:pPr>
      <w:r w:rsidRPr="00251CCF">
        <w:rPr>
          <w:noProof/>
          <w:color w:val="auto"/>
        </w:rPr>
        <w:t>2019</w:t>
      </w:r>
      <w:r w:rsidRPr="00251CCF">
        <w:rPr>
          <w:noProof/>
          <w:color w:val="auto"/>
        </w:rPr>
        <w:t>年</w:t>
      </w:r>
      <w:r w:rsidRPr="00251CCF">
        <w:rPr>
          <w:noProof/>
          <w:color w:val="auto"/>
        </w:rPr>
        <w:t>10</w:t>
      </w:r>
      <w:r w:rsidRPr="00251CCF">
        <w:rPr>
          <w:noProof/>
          <w:color w:val="auto"/>
        </w:rPr>
        <w:t>月</w:t>
      </w:r>
      <w:r w:rsidRPr="00251CCF">
        <w:rPr>
          <w:noProof/>
          <w:color w:val="auto"/>
        </w:rPr>
        <w:t>21</w:t>
      </w:r>
      <w:r w:rsidRPr="00251CCF">
        <w:rPr>
          <w:noProof/>
          <w:color w:val="auto"/>
        </w:rPr>
        <w:t>日</w:t>
      </w:r>
    </w:p>
    <w:p w:rsidR="00095445" w:rsidRPr="00251CCF" w:rsidRDefault="00095445" w:rsidP="00095445">
      <w:pPr>
        <w:widowControl/>
        <w:topLinePunct/>
        <w:adjustRightInd w:val="0"/>
        <w:rPr>
          <w:color w:val="00B050"/>
          <w:kern w:val="0"/>
          <w:lang w:eastAsia="en-US"/>
        </w:rPr>
      </w:pPr>
    </w:p>
    <w:p w:rsidR="00095445" w:rsidRPr="00251CCF" w:rsidRDefault="001D79FE" w:rsidP="00095445">
      <w:pPr>
        <w:widowControl/>
        <w:topLinePunct/>
        <w:adjustRightInd w:val="0"/>
        <w:jc w:val="center"/>
        <w:rPr>
          <w:rFonts w:eastAsia="SimSun"/>
          <w:b/>
          <w:noProof/>
          <w:color w:val="0000FF"/>
          <w:kern w:val="0"/>
        </w:rPr>
      </w:pPr>
      <w:r w:rsidRPr="00251CCF">
        <w:rPr>
          <w:b/>
          <w:noProof/>
        </w:rPr>
        <w:t>強制全面要約</w:t>
      </w:r>
    </w:p>
    <w:p w:rsidR="00095445" w:rsidRPr="00251CCF" w:rsidRDefault="00095445" w:rsidP="00095445">
      <w:pPr>
        <w:widowControl/>
        <w:topLinePunct/>
        <w:adjustRightInd w:val="0"/>
        <w:rPr>
          <w:kern w:val="0"/>
          <w:sz w:val="16"/>
          <w:szCs w:val="16"/>
        </w:rPr>
      </w:pPr>
    </w:p>
    <w:p w:rsidR="00555FCB" w:rsidRPr="00251CCF" w:rsidRDefault="007219EC" w:rsidP="00555FCB">
      <w:pPr>
        <w:widowControl/>
        <w:topLinePunct/>
        <w:adjustRightInd w:val="0"/>
        <w:jc w:val="center"/>
        <w:rPr>
          <w:rFonts w:eastAsia="SimSun"/>
          <w:b/>
          <w:noProof/>
          <w:color w:val="0000FF"/>
          <w:kern w:val="0"/>
        </w:rPr>
      </w:pPr>
      <w:r w:rsidRPr="004A775F">
        <w:rPr>
          <w:rFonts w:ascii="新細明體" w:hAnsi="新細明體" w:hint="eastAsia"/>
          <w:b/>
          <w:bCs/>
          <w:kern w:val="0"/>
        </w:rPr>
        <w:t>就</w:t>
      </w:r>
      <w:r w:rsidR="008D2FE8" w:rsidRPr="00251CCF">
        <w:rPr>
          <w:rFonts w:hint="eastAsia"/>
          <w:b/>
          <w:noProof/>
        </w:rPr>
        <w:t>大連港股份有限公司</w:t>
      </w:r>
      <w:r w:rsidRPr="004A775F">
        <w:rPr>
          <w:rFonts w:ascii="新細明體" w:hAnsi="新細明體" w:hint="eastAsia"/>
          <w:b/>
          <w:bCs/>
          <w:kern w:val="0"/>
        </w:rPr>
        <w:t>的股份的交易披露</w:t>
      </w:r>
    </w:p>
    <w:p w:rsidR="00095445" w:rsidRPr="00251CCF" w:rsidRDefault="00095445" w:rsidP="00095445">
      <w:pPr>
        <w:widowControl/>
        <w:topLinePunct/>
        <w:adjustRightInd w:val="0"/>
        <w:rPr>
          <w:color w:val="FF0000"/>
          <w:kern w:val="0"/>
          <w:sz w:val="10"/>
          <w:szCs w:val="10"/>
        </w:rPr>
      </w:pPr>
    </w:p>
    <w:p w:rsidR="00095445" w:rsidRPr="00251CCF" w:rsidRDefault="006E68CF" w:rsidP="00095445">
      <w:pPr>
        <w:widowControl/>
        <w:topLinePunct/>
        <w:adjustRightInd w:val="0"/>
        <w:rPr>
          <w:rFonts w:eastAsia="SimSun"/>
          <w:color w:val="FF0000"/>
          <w:kern w:val="0"/>
        </w:rPr>
      </w:pPr>
      <w:bookmarkStart w:id="0" w:name="approvalletterforindividual"/>
      <w:bookmarkEnd w:id="0"/>
      <w:r w:rsidRPr="004A775F">
        <w:rPr>
          <w:rFonts w:ascii="新細明體" w:hAnsi="新細明體" w:hint="eastAsia"/>
          <w:kern w:val="0"/>
        </w:rPr>
        <w:t>執行人員接獲依據香港《公司收購及合併守則》</w:t>
      </w:r>
      <w:r w:rsidRPr="004A775F">
        <w:rPr>
          <w:rFonts w:hAnsi="新細明體"/>
          <w:kern w:val="0"/>
        </w:rPr>
        <w:t>規則</w:t>
      </w:r>
      <w:r w:rsidRPr="004A775F">
        <w:rPr>
          <w:kern w:val="0"/>
        </w:rPr>
        <w:t>22</w:t>
      </w:r>
      <w:r w:rsidRPr="004A775F">
        <w:rPr>
          <w:rFonts w:hAnsi="新細明體"/>
          <w:kern w:val="0"/>
        </w:rPr>
        <w:t>作出</w:t>
      </w:r>
      <w:r w:rsidRPr="004A775F">
        <w:rPr>
          <w:rFonts w:ascii="新細明體" w:hAnsi="新細明體" w:hint="eastAsia"/>
          <w:kern w:val="0"/>
        </w:rPr>
        <w:t>以下的證券交易的披露：</w:t>
      </w:r>
    </w:p>
    <w:p w:rsidR="00FD2B0E" w:rsidRPr="00251CCF" w:rsidRDefault="00FD2B0E" w:rsidP="00095445">
      <w:pPr>
        <w:widowControl/>
        <w:topLinePunct/>
        <w:adjustRightInd w:val="0"/>
        <w:rPr>
          <w:color w:val="5F497A"/>
          <w:kern w:val="0"/>
        </w:rPr>
      </w:pPr>
    </w:p>
    <w:tbl>
      <w:tblPr>
        <w:tblStyle w:val="SFCDefaultTableStyle"/>
        <w:tblW w:w="15408" w:type="dxa"/>
        <w:tblInd w:w="108" w:type="dxa"/>
        <w:tblLayout w:type="fixed"/>
        <w:tblLook w:val="04A0" w:firstRow="1" w:lastRow="0" w:firstColumn="1" w:lastColumn="0" w:noHBand="0" w:noVBand="1"/>
      </w:tblPr>
      <w:tblGrid>
        <w:gridCol w:w="1620"/>
        <w:gridCol w:w="2070"/>
        <w:gridCol w:w="1350"/>
        <w:gridCol w:w="2592"/>
        <w:gridCol w:w="2592"/>
        <w:gridCol w:w="2592"/>
        <w:gridCol w:w="2592"/>
      </w:tblGrid>
      <w:tr w:rsidR="00F27018" w:rsidRPr="00251CCF" w:rsidTr="008D2FE8">
        <w:trPr>
          <w:tblHeader/>
        </w:trPr>
        <w:tc>
          <w:tcPr>
            <w:tcW w:w="526" w:type="pct"/>
          </w:tcPr>
          <w:p w:rsidR="00F27018" w:rsidRPr="00F532D5" w:rsidRDefault="006267CA">
            <w:pPr>
              <w:rPr>
                <w:rFonts w:ascii="新細明體" w:hAnsi="新細明體"/>
              </w:rPr>
            </w:pPr>
            <w:r w:rsidRPr="00F532D5">
              <w:rPr>
                <w:rFonts w:ascii="新細明體" w:hAnsi="新細明體" w:hint="eastAsia"/>
                <w:b/>
                <w:bCs/>
              </w:rPr>
              <w:t>交易方</w:t>
            </w:r>
          </w:p>
        </w:tc>
        <w:tc>
          <w:tcPr>
            <w:tcW w:w="672" w:type="pct"/>
          </w:tcPr>
          <w:p w:rsidR="00F27018" w:rsidRPr="00F532D5" w:rsidRDefault="006267CA" w:rsidP="00266358">
            <w:pPr>
              <w:widowControl/>
              <w:topLinePunct/>
              <w:adjustRightInd w:val="0"/>
              <w:rPr>
                <w:rFonts w:ascii="新細明體" w:hAnsi="新細明體"/>
              </w:rPr>
            </w:pPr>
            <w:r w:rsidRPr="00F532D5">
              <w:rPr>
                <w:rFonts w:ascii="新細明體" w:hAnsi="新細明體" w:hint="eastAsia"/>
                <w:b/>
                <w:bCs/>
              </w:rPr>
              <w:t>日期</w:t>
            </w:r>
          </w:p>
        </w:tc>
        <w:tc>
          <w:tcPr>
            <w:tcW w:w="438" w:type="pct"/>
          </w:tcPr>
          <w:p w:rsidR="00F27018" w:rsidRPr="00F532D5" w:rsidRDefault="006267CA">
            <w:pPr>
              <w:rPr>
                <w:rFonts w:ascii="新細明體" w:hAnsi="新細明體"/>
              </w:rPr>
            </w:pPr>
            <w:r w:rsidRPr="00F532D5">
              <w:rPr>
                <w:rFonts w:ascii="新細明體" w:hAnsi="新細明體" w:hint="eastAsia"/>
                <w:b/>
                <w:bCs/>
              </w:rPr>
              <w:t>買入／賣出</w:t>
            </w:r>
          </w:p>
        </w:tc>
        <w:tc>
          <w:tcPr>
            <w:tcW w:w="841" w:type="pct"/>
          </w:tcPr>
          <w:p w:rsidR="00F27018" w:rsidRPr="00F532D5" w:rsidRDefault="006267CA" w:rsidP="006267CA">
            <w:pPr>
              <w:rPr>
                <w:rFonts w:ascii="新細明體" w:hAnsi="新細明體"/>
              </w:rPr>
            </w:pPr>
            <w:r w:rsidRPr="00F532D5">
              <w:rPr>
                <w:rFonts w:ascii="新細明體" w:hAnsi="新細明體" w:hint="eastAsia"/>
                <w:b/>
                <w:bCs/>
              </w:rPr>
              <w:t>股份數目</w:t>
            </w:r>
          </w:p>
        </w:tc>
        <w:tc>
          <w:tcPr>
            <w:tcW w:w="841" w:type="pct"/>
          </w:tcPr>
          <w:p w:rsidR="00F27018" w:rsidRPr="00F532D5" w:rsidRDefault="006267CA" w:rsidP="006267CA">
            <w:pPr>
              <w:rPr>
                <w:rFonts w:ascii="新細明體" w:hAnsi="新細明體"/>
              </w:rPr>
            </w:pPr>
            <w:r w:rsidRPr="00F532D5">
              <w:rPr>
                <w:rFonts w:ascii="新細明體" w:hAnsi="新細明體" w:hint="eastAsia"/>
                <w:b/>
                <w:bCs/>
              </w:rPr>
              <w:t>每股價格</w:t>
            </w:r>
            <w:r w:rsidR="008D2FE8">
              <w:rPr>
                <w:rFonts w:ascii="新細明體" w:hAnsi="新細明體" w:hint="eastAsia"/>
                <w:b/>
                <w:bCs/>
                <w:lang w:eastAsia="zh-TW"/>
              </w:rPr>
              <w:t>（</w:t>
            </w:r>
            <w:r w:rsidR="008D2FE8">
              <w:rPr>
                <w:rFonts w:ascii="新細明體" w:hAnsi="新細明體" w:hint="eastAsia"/>
                <w:b/>
                <w:bCs/>
                <w:lang w:eastAsia="zh-HK"/>
              </w:rPr>
              <w:t>人民</w:t>
            </w:r>
            <w:proofErr w:type="gramStart"/>
            <w:r w:rsidR="008D2FE8">
              <w:rPr>
                <w:rFonts w:ascii="新細明體" w:hAnsi="新細明體" w:hint="eastAsia"/>
                <w:b/>
                <w:bCs/>
                <w:lang w:eastAsia="zh-HK"/>
              </w:rPr>
              <w:t>幣</w:t>
            </w:r>
            <w:proofErr w:type="gramEnd"/>
            <w:r w:rsidR="008D2FE8">
              <w:rPr>
                <w:rFonts w:ascii="新細明體" w:hAnsi="新細明體" w:hint="eastAsia"/>
                <w:b/>
                <w:bCs/>
                <w:lang w:eastAsia="zh-TW"/>
              </w:rPr>
              <w:t>）</w:t>
            </w:r>
          </w:p>
        </w:tc>
        <w:tc>
          <w:tcPr>
            <w:tcW w:w="841" w:type="pct"/>
          </w:tcPr>
          <w:p w:rsidR="00F27018" w:rsidRPr="00F532D5" w:rsidRDefault="006267CA" w:rsidP="006267CA">
            <w:pPr>
              <w:rPr>
                <w:rFonts w:ascii="新細明體" w:hAnsi="新細明體"/>
                <w:lang w:eastAsia="zh-TW"/>
              </w:rPr>
            </w:pPr>
            <w:r w:rsidRPr="00F532D5">
              <w:rPr>
                <w:rFonts w:ascii="新細明體" w:hAnsi="新細明體" w:hint="eastAsia"/>
                <w:b/>
                <w:bCs/>
                <w:lang w:eastAsia="zh-TW"/>
              </w:rPr>
              <w:t>交易後數額（包括與其訂有協議或達成諒解的任何人士的證券）</w:t>
            </w:r>
          </w:p>
        </w:tc>
        <w:tc>
          <w:tcPr>
            <w:tcW w:w="841" w:type="pct"/>
          </w:tcPr>
          <w:p w:rsidR="00F27018" w:rsidRPr="00F532D5" w:rsidRDefault="006267CA" w:rsidP="006267CA">
            <w:pPr>
              <w:rPr>
                <w:rFonts w:ascii="新細明體" w:hAnsi="新細明體"/>
                <w:lang w:eastAsia="zh-TW"/>
              </w:rPr>
            </w:pPr>
            <w:r w:rsidRPr="00F532D5">
              <w:rPr>
                <w:rFonts w:ascii="新細明體" w:hAnsi="新細明體" w:hint="eastAsia"/>
                <w:b/>
                <w:bCs/>
                <w:lang w:eastAsia="zh-TW"/>
              </w:rPr>
              <w:t>佔該類別證券的百分比（包括與其訂有協議或達成諒解的任何人士的證券）%</w:t>
            </w:r>
          </w:p>
        </w:tc>
      </w:tr>
      <w:tr w:rsidR="008D2FE8" w:rsidRPr="00251CCF" w:rsidTr="008D2FE8">
        <w:trPr>
          <w:tblHeader/>
        </w:trPr>
        <w:tc>
          <w:tcPr>
            <w:tcW w:w="526" w:type="pct"/>
            <w:vMerge w:val="restart"/>
          </w:tcPr>
          <w:p w:rsidR="008D2FE8" w:rsidRPr="00251CCF" w:rsidRDefault="008D2FE8" w:rsidP="003A1FC8">
            <w:pPr>
              <w:widowControl/>
              <w:topLinePunct/>
              <w:adjustRightInd w:val="0"/>
              <w:rPr>
                <w:lang w:eastAsia="zh-TW"/>
              </w:rPr>
            </w:pPr>
            <w:r w:rsidRPr="00251CCF">
              <w:rPr>
                <w:rFonts w:hint="eastAsia"/>
                <w:noProof/>
                <w:lang w:eastAsia="zh-TW"/>
              </w:rPr>
              <w:t>招商證券股份有限公司</w:t>
            </w:r>
          </w:p>
        </w:tc>
        <w:tc>
          <w:tcPr>
            <w:tcW w:w="672" w:type="pct"/>
            <w:vMerge w:val="restart"/>
          </w:tcPr>
          <w:p w:rsidR="008D2FE8" w:rsidRPr="00251CCF" w:rsidRDefault="008D2FE8" w:rsidP="00D471D9">
            <w:pPr>
              <w:widowControl/>
              <w:topLinePunct/>
              <w:adjustRightInd w:val="0"/>
              <w:rPr>
                <w:color w:val="5F497A"/>
              </w:rPr>
            </w:pPr>
            <w:r w:rsidRPr="00251CCF">
              <w:rPr>
                <w:noProof/>
              </w:rPr>
              <w:t>2019</w:t>
            </w:r>
            <w:r w:rsidRPr="00251CCF">
              <w:rPr>
                <w:noProof/>
              </w:rPr>
              <w:t>年</w:t>
            </w:r>
            <w:r w:rsidRPr="00251CCF">
              <w:rPr>
                <w:noProof/>
              </w:rPr>
              <w:t>10</w:t>
            </w:r>
            <w:r w:rsidRPr="00251CCF">
              <w:rPr>
                <w:noProof/>
              </w:rPr>
              <w:t>月</w:t>
            </w:r>
            <w:r w:rsidRPr="00251CCF">
              <w:rPr>
                <w:noProof/>
              </w:rPr>
              <w:t>18</w:t>
            </w:r>
            <w:r w:rsidRPr="00251CCF">
              <w:rPr>
                <w:noProof/>
              </w:rPr>
              <w:t>日</w:t>
            </w:r>
          </w:p>
        </w:tc>
        <w:tc>
          <w:tcPr>
            <w:tcW w:w="438" w:type="pct"/>
          </w:tcPr>
          <w:p w:rsidR="008D2FE8" w:rsidRPr="00251CCF" w:rsidRDefault="008D2FE8" w:rsidP="00D471D9">
            <w:pPr>
              <w:widowControl/>
              <w:topLinePunct/>
              <w:adjustRightInd w:val="0"/>
            </w:pPr>
            <w:r w:rsidRPr="00251CCF">
              <w:rPr>
                <w:noProof/>
              </w:rPr>
              <w:t>買入</w:t>
            </w:r>
          </w:p>
        </w:tc>
        <w:tc>
          <w:tcPr>
            <w:tcW w:w="841" w:type="pct"/>
          </w:tcPr>
          <w:p w:rsidR="008D2FE8" w:rsidRPr="00251CCF" w:rsidRDefault="008D2FE8" w:rsidP="00D471D9">
            <w:pPr>
              <w:widowControl/>
              <w:topLinePunct/>
              <w:adjustRightInd w:val="0"/>
              <w:jc w:val="right"/>
            </w:pPr>
            <w:r w:rsidRPr="00251CCF">
              <w:rPr>
                <w:noProof/>
              </w:rPr>
              <w:t>1,700</w:t>
            </w:r>
          </w:p>
        </w:tc>
        <w:tc>
          <w:tcPr>
            <w:tcW w:w="841" w:type="pct"/>
          </w:tcPr>
          <w:p w:rsidR="008D2FE8" w:rsidRPr="00251CCF" w:rsidRDefault="008D2FE8" w:rsidP="00D471D9">
            <w:pPr>
              <w:widowControl/>
              <w:topLinePunct/>
              <w:adjustRightInd w:val="0"/>
              <w:jc w:val="right"/>
            </w:pPr>
            <w:r w:rsidRPr="00251CCF">
              <w:rPr>
                <w:noProof/>
              </w:rPr>
              <w:t>2.0800</w:t>
            </w:r>
          </w:p>
        </w:tc>
        <w:tc>
          <w:tcPr>
            <w:tcW w:w="841" w:type="pct"/>
          </w:tcPr>
          <w:p w:rsidR="008D2FE8" w:rsidRPr="00251CCF" w:rsidRDefault="008D2FE8" w:rsidP="00D471D9">
            <w:pPr>
              <w:widowControl/>
              <w:topLinePunct/>
              <w:adjustRightInd w:val="0"/>
              <w:jc w:val="right"/>
            </w:pPr>
            <w:r w:rsidRPr="00251CCF">
              <w:rPr>
                <w:noProof/>
              </w:rPr>
              <w:t>1,700</w:t>
            </w:r>
          </w:p>
        </w:tc>
        <w:tc>
          <w:tcPr>
            <w:tcW w:w="841" w:type="pct"/>
          </w:tcPr>
          <w:p w:rsidR="008D2FE8" w:rsidRPr="00251CCF" w:rsidRDefault="008D2FE8" w:rsidP="00D471D9">
            <w:pPr>
              <w:widowControl/>
              <w:topLinePunct/>
              <w:adjustRightInd w:val="0"/>
              <w:jc w:val="right"/>
            </w:pPr>
            <w:r w:rsidRPr="00251CCF">
              <w:rPr>
                <w:noProof/>
              </w:rPr>
              <w:t>0.0000%</w:t>
            </w:r>
          </w:p>
        </w:tc>
      </w:tr>
      <w:tr w:rsidR="008D2FE8" w:rsidRPr="00251CCF" w:rsidTr="008D2FE8">
        <w:trPr>
          <w:tblHeader/>
        </w:trPr>
        <w:tc>
          <w:tcPr>
            <w:tcW w:w="526" w:type="pct"/>
            <w:vMerge/>
          </w:tcPr>
          <w:p w:rsidR="008D2FE8" w:rsidRPr="00251CCF" w:rsidRDefault="008D2FE8" w:rsidP="003A1FC8">
            <w:pPr>
              <w:widowControl/>
              <w:topLinePunct/>
              <w:adjustRightInd w:val="0"/>
            </w:pPr>
          </w:p>
        </w:tc>
        <w:tc>
          <w:tcPr>
            <w:tcW w:w="672" w:type="pct"/>
            <w:vMerge/>
          </w:tcPr>
          <w:p w:rsidR="008D2FE8" w:rsidRPr="00251CCF" w:rsidRDefault="008D2FE8" w:rsidP="00D471D9">
            <w:pPr>
              <w:widowControl/>
              <w:topLinePunct/>
              <w:adjustRightInd w:val="0"/>
              <w:rPr>
                <w:color w:val="5F497A"/>
              </w:rPr>
            </w:pPr>
          </w:p>
        </w:tc>
        <w:tc>
          <w:tcPr>
            <w:tcW w:w="438" w:type="pct"/>
          </w:tcPr>
          <w:p w:rsidR="008D2FE8" w:rsidRPr="00251CCF" w:rsidRDefault="008D2FE8" w:rsidP="00D471D9">
            <w:pPr>
              <w:widowControl/>
              <w:topLinePunct/>
              <w:adjustRightInd w:val="0"/>
            </w:pPr>
            <w:r w:rsidRPr="00251CCF">
              <w:rPr>
                <w:noProof/>
              </w:rPr>
              <w:t>賣出</w:t>
            </w:r>
          </w:p>
        </w:tc>
        <w:tc>
          <w:tcPr>
            <w:tcW w:w="841" w:type="pct"/>
          </w:tcPr>
          <w:p w:rsidR="008D2FE8" w:rsidRPr="00251CCF" w:rsidRDefault="008D2FE8" w:rsidP="00D471D9">
            <w:pPr>
              <w:widowControl/>
              <w:topLinePunct/>
              <w:adjustRightInd w:val="0"/>
              <w:jc w:val="right"/>
            </w:pPr>
            <w:r w:rsidRPr="00251CCF">
              <w:rPr>
                <w:noProof/>
              </w:rPr>
              <w:t>1,700</w:t>
            </w:r>
          </w:p>
        </w:tc>
        <w:tc>
          <w:tcPr>
            <w:tcW w:w="841" w:type="pct"/>
          </w:tcPr>
          <w:p w:rsidR="008D2FE8" w:rsidRPr="00251CCF" w:rsidRDefault="008D2FE8" w:rsidP="00D471D9">
            <w:pPr>
              <w:widowControl/>
              <w:topLinePunct/>
              <w:adjustRightInd w:val="0"/>
              <w:jc w:val="right"/>
            </w:pPr>
            <w:r w:rsidRPr="00251CCF">
              <w:rPr>
                <w:noProof/>
              </w:rPr>
              <w:t>2.0800</w:t>
            </w:r>
          </w:p>
        </w:tc>
        <w:tc>
          <w:tcPr>
            <w:tcW w:w="841" w:type="pct"/>
          </w:tcPr>
          <w:p w:rsidR="008D2FE8" w:rsidRPr="00251CCF" w:rsidRDefault="008D2FE8" w:rsidP="00D471D9">
            <w:pPr>
              <w:widowControl/>
              <w:topLinePunct/>
              <w:adjustRightInd w:val="0"/>
              <w:jc w:val="right"/>
            </w:pPr>
            <w:r w:rsidRPr="00251CCF">
              <w:rPr>
                <w:noProof/>
              </w:rPr>
              <w:t>0</w:t>
            </w:r>
          </w:p>
        </w:tc>
        <w:tc>
          <w:tcPr>
            <w:tcW w:w="841" w:type="pct"/>
          </w:tcPr>
          <w:p w:rsidR="008D2FE8" w:rsidRPr="00251CCF" w:rsidRDefault="008D2FE8" w:rsidP="00D471D9">
            <w:pPr>
              <w:widowControl/>
              <w:topLinePunct/>
              <w:adjustRightInd w:val="0"/>
              <w:jc w:val="right"/>
            </w:pPr>
            <w:r w:rsidRPr="00251CCF">
              <w:rPr>
                <w:noProof/>
              </w:rPr>
              <w:t>0.0000%</w:t>
            </w:r>
          </w:p>
        </w:tc>
      </w:tr>
      <w:tr w:rsidR="008D2FE8" w:rsidRPr="00251CCF" w:rsidTr="008D2FE8">
        <w:trPr>
          <w:tblHeader/>
        </w:trPr>
        <w:tc>
          <w:tcPr>
            <w:tcW w:w="526" w:type="pct"/>
            <w:vMerge/>
          </w:tcPr>
          <w:p w:rsidR="008D2FE8" w:rsidRPr="00251CCF" w:rsidRDefault="008D2FE8" w:rsidP="003A1FC8">
            <w:pPr>
              <w:widowControl/>
              <w:topLinePunct/>
              <w:adjustRightInd w:val="0"/>
            </w:pPr>
          </w:p>
        </w:tc>
        <w:tc>
          <w:tcPr>
            <w:tcW w:w="672" w:type="pct"/>
            <w:vMerge/>
          </w:tcPr>
          <w:p w:rsidR="008D2FE8" w:rsidRPr="00251CCF" w:rsidRDefault="008D2FE8" w:rsidP="00D471D9">
            <w:pPr>
              <w:widowControl/>
              <w:topLinePunct/>
              <w:adjustRightInd w:val="0"/>
              <w:rPr>
                <w:color w:val="5F497A"/>
              </w:rPr>
            </w:pPr>
          </w:p>
        </w:tc>
        <w:tc>
          <w:tcPr>
            <w:tcW w:w="438" w:type="pct"/>
          </w:tcPr>
          <w:p w:rsidR="008D2FE8" w:rsidRPr="00251CCF" w:rsidRDefault="008D2FE8" w:rsidP="00D471D9">
            <w:pPr>
              <w:widowControl/>
              <w:topLinePunct/>
              <w:adjustRightInd w:val="0"/>
            </w:pPr>
            <w:r w:rsidRPr="00251CCF">
              <w:rPr>
                <w:noProof/>
              </w:rPr>
              <w:t>買入</w:t>
            </w:r>
          </w:p>
        </w:tc>
        <w:tc>
          <w:tcPr>
            <w:tcW w:w="841" w:type="pct"/>
          </w:tcPr>
          <w:p w:rsidR="008D2FE8" w:rsidRPr="00251CCF" w:rsidRDefault="008D2FE8" w:rsidP="00D471D9">
            <w:pPr>
              <w:widowControl/>
              <w:topLinePunct/>
              <w:adjustRightInd w:val="0"/>
              <w:jc w:val="right"/>
            </w:pPr>
            <w:r w:rsidRPr="00251CCF">
              <w:rPr>
                <w:noProof/>
              </w:rPr>
              <w:t>1,700</w:t>
            </w:r>
          </w:p>
        </w:tc>
        <w:tc>
          <w:tcPr>
            <w:tcW w:w="841" w:type="pct"/>
          </w:tcPr>
          <w:p w:rsidR="008D2FE8" w:rsidRPr="00251CCF" w:rsidRDefault="008D2FE8" w:rsidP="00D471D9">
            <w:pPr>
              <w:widowControl/>
              <w:topLinePunct/>
              <w:adjustRightInd w:val="0"/>
              <w:jc w:val="right"/>
            </w:pPr>
            <w:r w:rsidRPr="00251CCF">
              <w:rPr>
                <w:noProof/>
              </w:rPr>
              <w:t>2.0500</w:t>
            </w:r>
          </w:p>
        </w:tc>
        <w:tc>
          <w:tcPr>
            <w:tcW w:w="841" w:type="pct"/>
          </w:tcPr>
          <w:p w:rsidR="008D2FE8" w:rsidRPr="00251CCF" w:rsidRDefault="008D2FE8" w:rsidP="00D471D9">
            <w:pPr>
              <w:widowControl/>
              <w:topLinePunct/>
              <w:adjustRightInd w:val="0"/>
              <w:jc w:val="right"/>
            </w:pPr>
            <w:r w:rsidRPr="00251CCF">
              <w:rPr>
                <w:noProof/>
              </w:rPr>
              <w:t>1,700</w:t>
            </w:r>
          </w:p>
        </w:tc>
        <w:tc>
          <w:tcPr>
            <w:tcW w:w="841" w:type="pct"/>
          </w:tcPr>
          <w:p w:rsidR="008D2FE8" w:rsidRPr="00251CCF" w:rsidRDefault="008D2FE8" w:rsidP="00D471D9">
            <w:pPr>
              <w:widowControl/>
              <w:topLinePunct/>
              <w:adjustRightInd w:val="0"/>
              <w:jc w:val="right"/>
            </w:pPr>
            <w:r w:rsidRPr="00251CCF">
              <w:rPr>
                <w:noProof/>
              </w:rPr>
              <w:t>0.0000%</w:t>
            </w:r>
          </w:p>
        </w:tc>
      </w:tr>
      <w:tr w:rsidR="008D2FE8" w:rsidRPr="00251CCF" w:rsidTr="008D2FE8">
        <w:trPr>
          <w:tblHeader/>
        </w:trPr>
        <w:tc>
          <w:tcPr>
            <w:tcW w:w="526" w:type="pct"/>
            <w:vMerge/>
          </w:tcPr>
          <w:p w:rsidR="008D2FE8" w:rsidRPr="00251CCF" w:rsidRDefault="008D2FE8" w:rsidP="003A1FC8">
            <w:pPr>
              <w:widowControl/>
              <w:topLinePunct/>
              <w:adjustRightInd w:val="0"/>
            </w:pPr>
          </w:p>
        </w:tc>
        <w:tc>
          <w:tcPr>
            <w:tcW w:w="672" w:type="pct"/>
            <w:vMerge/>
          </w:tcPr>
          <w:p w:rsidR="008D2FE8" w:rsidRPr="00251CCF" w:rsidRDefault="008D2FE8" w:rsidP="00D471D9">
            <w:pPr>
              <w:widowControl/>
              <w:topLinePunct/>
              <w:adjustRightInd w:val="0"/>
              <w:rPr>
                <w:color w:val="5F497A"/>
              </w:rPr>
            </w:pPr>
          </w:p>
        </w:tc>
        <w:tc>
          <w:tcPr>
            <w:tcW w:w="438" w:type="pct"/>
          </w:tcPr>
          <w:p w:rsidR="008D2FE8" w:rsidRPr="00251CCF" w:rsidRDefault="008D2FE8" w:rsidP="00D471D9">
            <w:pPr>
              <w:widowControl/>
              <w:topLinePunct/>
              <w:adjustRightInd w:val="0"/>
            </w:pPr>
            <w:r w:rsidRPr="00251CCF">
              <w:rPr>
                <w:noProof/>
              </w:rPr>
              <w:t>賣出</w:t>
            </w:r>
          </w:p>
        </w:tc>
        <w:tc>
          <w:tcPr>
            <w:tcW w:w="841" w:type="pct"/>
          </w:tcPr>
          <w:p w:rsidR="008D2FE8" w:rsidRPr="00251CCF" w:rsidRDefault="008D2FE8" w:rsidP="00D471D9">
            <w:pPr>
              <w:widowControl/>
              <w:topLinePunct/>
              <w:adjustRightInd w:val="0"/>
              <w:jc w:val="right"/>
            </w:pPr>
            <w:r w:rsidRPr="00251CCF">
              <w:rPr>
                <w:noProof/>
              </w:rPr>
              <w:t>1,600</w:t>
            </w:r>
          </w:p>
        </w:tc>
        <w:tc>
          <w:tcPr>
            <w:tcW w:w="841" w:type="pct"/>
          </w:tcPr>
          <w:p w:rsidR="008D2FE8" w:rsidRPr="00251CCF" w:rsidRDefault="008D2FE8" w:rsidP="00D471D9">
            <w:pPr>
              <w:widowControl/>
              <w:topLinePunct/>
              <w:adjustRightInd w:val="0"/>
              <w:jc w:val="right"/>
            </w:pPr>
            <w:r w:rsidRPr="00251CCF">
              <w:rPr>
                <w:noProof/>
              </w:rPr>
              <w:t>2.0500</w:t>
            </w:r>
          </w:p>
        </w:tc>
        <w:tc>
          <w:tcPr>
            <w:tcW w:w="841" w:type="pct"/>
          </w:tcPr>
          <w:p w:rsidR="008D2FE8" w:rsidRPr="00251CCF" w:rsidRDefault="008D2FE8" w:rsidP="00D471D9">
            <w:pPr>
              <w:widowControl/>
              <w:topLinePunct/>
              <w:adjustRightInd w:val="0"/>
              <w:jc w:val="right"/>
            </w:pPr>
            <w:r w:rsidRPr="00251CCF">
              <w:rPr>
                <w:noProof/>
              </w:rPr>
              <w:t>100</w:t>
            </w:r>
          </w:p>
        </w:tc>
        <w:tc>
          <w:tcPr>
            <w:tcW w:w="841" w:type="pct"/>
          </w:tcPr>
          <w:p w:rsidR="008D2FE8" w:rsidRPr="00251CCF" w:rsidRDefault="008D2FE8" w:rsidP="00D471D9">
            <w:pPr>
              <w:widowControl/>
              <w:topLinePunct/>
              <w:adjustRightInd w:val="0"/>
              <w:jc w:val="right"/>
            </w:pPr>
            <w:r w:rsidRPr="00251CCF">
              <w:rPr>
                <w:noProof/>
              </w:rPr>
              <w:t>0.0000%</w:t>
            </w:r>
          </w:p>
        </w:tc>
      </w:tr>
      <w:tr w:rsidR="008D2FE8" w:rsidRPr="00251CCF" w:rsidTr="008D2FE8">
        <w:trPr>
          <w:tblHeader/>
        </w:trPr>
        <w:tc>
          <w:tcPr>
            <w:tcW w:w="526" w:type="pct"/>
            <w:vMerge/>
          </w:tcPr>
          <w:p w:rsidR="008D2FE8" w:rsidRPr="00251CCF" w:rsidRDefault="008D2FE8" w:rsidP="003A1FC8">
            <w:pPr>
              <w:widowControl/>
              <w:topLinePunct/>
              <w:adjustRightInd w:val="0"/>
            </w:pPr>
          </w:p>
        </w:tc>
        <w:tc>
          <w:tcPr>
            <w:tcW w:w="672" w:type="pct"/>
            <w:vMerge/>
          </w:tcPr>
          <w:p w:rsidR="008D2FE8" w:rsidRPr="00251CCF" w:rsidRDefault="008D2FE8" w:rsidP="00D471D9">
            <w:pPr>
              <w:widowControl/>
              <w:topLinePunct/>
              <w:adjustRightInd w:val="0"/>
              <w:rPr>
                <w:color w:val="5F497A"/>
              </w:rPr>
            </w:pPr>
          </w:p>
        </w:tc>
        <w:tc>
          <w:tcPr>
            <w:tcW w:w="438" w:type="pct"/>
          </w:tcPr>
          <w:p w:rsidR="008D2FE8" w:rsidRPr="00251CCF" w:rsidRDefault="008D2FE8" w:rsidP="00D471D9">
            <w:pPr>
              <w:widowControl/>
              <w:topLinePunct/>
              <w:adjustRightInd w:val="0"/>
            </w:pPr>
            <w:r w:rsidRPr="00251CCF">
              <w:rPr>
                <w:noProof/>
              </w:rPr>
              <w:t>賣出</w:t>
            </w:r>
          </w:p>
        </w:tc>
        <w:tc>
          <w:tcPr>
            <w:tcW w:w="841" w:type="pct"/>
          </w:tcPr>
          <w:p w:rsidR="008D2FE8" w:rsidRPr="00251CCF" w:rsidRDefault="008D2FE8" w:rsidP="00D471D9">
            <w:pPr>
              <w:widowControl/>
              <w:topLinePunct/>
              <w:adjustRightInd w:val="0"/>
              <w:jc w:val="right"/>
            </w:pPr>
            <w:r w:rsidRPr="00251CCF">
              <w:rPr>
                <w:noProof/>
              </w:rPr>
              <w:t>100</w:t>
            </w:r>
          </w:p>
        </w:tc>
        <w:tc>
          <w:tcPr>
            <w:tcW w:w="841" w:type="pct"/>
          </w:tcPr>
          <w:p w:rsidR="008D2FE8" w:rsidRPr="00251CCF" w:rsidRDefault="008D2FE8" w:rsidP="00D471D9">
            <w:pPr>
              <w:widowControl/>
              <w:topLinePunct/>
              <w:adjustRightInd w:val="0"/>
              <w:jc w:val="right"/>
            </w:pPr>
            <w:bookmarkStart w:id="1" w:name="_GoBack"/>
            <w:bookmarkEnd w:id="1"/>
            <w:r w:rsidRPr="00251CCF">
              <w:rPr>
                <w:noProof/>
              </w:rPr>
              <w:t>2.0500</w:t>
            </w:r>
          </w:p>
        </w:tc>
        <w:tc>
          <w:tcPr>
            <w:tcW w:w="841" w:type="pct"/>
          </w:tcPr>
          <w:p w:rsidR="008D2FE8" w:rsidRPr="00251CCF" w:rsidRDefault="008D2FE8" w:rsidP="00D471D9">
            <w:pPr>
              <w:widowControl/>
              <w:topLinePunct/>
              <w:adjustRightInd w:val="0"/>
              <w:jc w:val="right"/>
            </w:pPr>
            <w:r w:rsidRPr="00251CCF">
              <w:rPr>
                <w:noProof/>
              </w:rPr>
              <w:t>0</w:t>
            </w:r>
          </w:p>
        </w:tc>
        <w:tc>
          <w:tcPr>
            <w:tcW w:w="841" w:type="pct"/>
          </w:tcPr>
          <w:p w:rsidR="008D2FE8" w:rsidRPr="00251CCF" w:rsidRDefault="008D2FE8" w:rsidP="00D471D9">
            <w:pPr>
              <w:widowControl/>
              <w:topLinePunct/>
              <w:adjustRightInd w:val="0"/>
              <w:jc w:val="right"/>
            </w:pPr>
            <w:r w:rsidRPr="00251CCF">
              <w:rPr>
                <w:noProof/>
              </w:rPr>
              <w:t>0.0000%</w:t>
            </w:r>
          </w:p>
        </w:tc>
      </w:tr>
    </w:tbl>
    <w:p w:rsidR="00FD2B0E" w:rsidRPr="00251CCF" w:rsidRDefault="00FD2B0E" w:rsidP="00FD2B0E">
      <w:pPr>
        <w:widowControl/>
        <w:topLinePunct/>
        <w:adjustRightInd w:val="0"/>
        <w:rPr>
          <w:color w:val="5F497A"/>
          <w:kern w:val="0"/>
        </w:rPr>
      </w:pPr>
    </w:p>
    <w:p w:rsidR="00F408A2" w:rsidRPr="00251CCF" w:rsidRDefault="00BE23C7" w:rsidP="00F408A2">
      <w:pPr>
        <w:widowControl/>
        <w:topLinePunct/>
        <w:adjustRightInd w:val="0"/>
        <w:rPr>
          <w:color w:val="auto"/>
        </w:rPr>
      </w:pPr>
      <w:r w:rsidRPr="00802A41">
        <w:rPr>
          <w:rFonts w:hint="eastAsia"/>
        </w:rPr>
        <w:t>完</w:t>
      </w:r>
    </w:p>
    <w:p w:rsidR="00677E3D" w:rsidRPr="00251CCF" w:rsidRDefault="00677E3D" w:rsidP="00BD6CD7">
      <w:pPr>
        <w:widowControl/>
        <w:topLinePunct/>
        <w:adjustRightInd w:val="0"/>
        <w:rPr>
          <w:color w:val="auto"/>
        </w:rPr>
      </w:pPr>
    </w:p>
    <w:p w:rsidR="00677E3D" w:rsidRPr="00251CCF" w:rsidRDefault="00677E3D" w:rsidP="00BD6CD7">
      <w:pPr>
        <w:widowControl/>
        <w:topLinePunct/>
        <w:adjustRightInd w:val="0"/>
        <w:rPr>
          <w:color w:val="auto"/>
        </w:rPr>
      </w:pPr>
    </w:p>
    <w:p w:rsidR="00462BC6" w:rsidRDefault="009B788E" w:rsidP="00BD6CD7">
      <w:pPr>
        <w:widowControl/>
        <w:topLinePunct/>
        <w:adjustRightInd w:val="0"/>
        <w:rPr>
          <w:rFonts w:hAnsi="新細明體"/>
        </w:rPr>
      </w:pPr>
      <w:r w:rsidRPr="000819AB">
        <w:rPr>
          <w:rFonts w:hAnsi="新細明體"/>
        </w:rPr>
        <w:t>註：</w:t>
      </w:r>
    </w:p>
    <w:p w:rsidR="008D2FE8" w:rsidRPr="002A0CF4" w:rsidRDefault="008D2FE8" w:rsidP="008D2FE8">
      <w:pPr>
        <w:widowControl/>
        <w:topLinePunct/>
        <w:adjustRightInd w:val="0"/>
      </w:pPr>
      <w:r>
        <w:rPr>
          <w:noProof/>
        </w:rPr>
        <w:t>根據一致行動的定義</w:t>
      </w:r>
      <w:r>
        <w:rPr>
          <w:rFonts w:hint="eastAsia"/>
          <w:noProof/>
          <w:lang w:eastAsia="zh-HK"/>
        </w:rPr>
        <w:t>中的</w:t>
      </w:r>
      <w:r>
        <w:rPr>
          <w:noProof/>
        </w:rPr>
        <w:t>第</w:t>
      </w:r>
      <w:r>
        <w:rPr>
          <w:noProof/>
        </w:rPr>
        <w:t>(1)</w:t>
      </w:r>
      <w:r>
        <w:rPr>
          <w:noProof/>
        </w:rPr>
        <w:t>類別</w:t>
      </w:r>
      <w:r>
        <w:rPr>
          <w:rFonts w:hint="eastAsia"/>
          <w:noProof/>
          <w:lang w:eastAsia="zh-HK"/>
        </w:rPr>
        <w:t>，</w:t>
      </w:r>
      <w:r w:rsidRPr="00251CCF">
        <w:rPr>
          <w:rFonts w:hint="eastAsia"/>
          <w:noProof/>
          <w:color w:val="auto"/>
        </w:rPr>
        <w:t>招商證券股份有限公司</w:t>
      </w:r>
      <w:r w:rsidRPr="000819AB">
        <w:rPr>
          <w:rFonts w:hAnsi="新細明體"/>
          <w:bCs/>
          <w:noProof/>
          <w:kern w:val="0"/>
        </w:rPr>
        <w:t>是</w:t>
      </w:r>
      <w:r w:rsidRPr="005E3A8E">
        <w:rPr>
          <w:rFonts w:hAnsi="新細明體" w:hint="eastAsia"/>
          <w:bCs/>
          <w:noProof/>
          <w:kern w:val="0"/>
        </w:rPr>
        <w:t>與</w:t>
      </w:r>
      <w:r>
        <w:rPr>
          <w:noProof/>
        </w:rPr>
        <w:t>要約人</w:t>
      </w:r>
      <w:r w:rsidRPr="005E3A8E">
        <w:rPr>
          <w:rFonts w:hint="eastAsia"/>
        </w:rPr>
        <w:t>有關連的</w:t>
      </w:r>
      <w:r>
        <w:rPr>
          <w:noProof/>
        </w:rPr>
        <w:t>第</w:t>
      </w:r>
      <w:r>
        <w:rPr>
          <w:noProof/>
        </w:rPr>
        <w:t>(1)</w:t>
      </w:r>
      <w:r>
        <w:rPr>
          <w:noProof/>
        </w:rPr>
        <w:t>類別</w:t>
      </w:r>
      <w:r w:rsidRPr="005E3A8E">
        <w:rPr>
          <w:rFonts w:hint="eastAsia"/>
        </w:rPr>
        <w:t>聯繫人</w:t>
      </w:r>
      <w:r w:rsidRPr="000819AB">
        <w:rPr>
          <w:rFonts w:hAnsi="新細明體"/>
          <w:bCs/>
          <w:noProof/>
          <w:kern w:val="0"/>
        </w:rPr>
        <w:t>。</w:t>
      </w:r>
    </w:p>
    <w:p w:rsidR="008D2FE8" w:rsidRPr="00794ACE" w:rsidRDefault="008D2FE8" w:rsidP="008D2FE8">
      <w:pPr>
        <w:widowControl/>
        <w:topLinePunct/>
        <w:adjustRightInd w:val="0"/>
        <w:rPr>
          <w:rFonts w:hAnsi="新細明體"/>
          <w:bCs/>
          <w:noProof/>
          <w:kern w:val="0"/>
          <w:lang w:val="en-HK"/>
        </w:rPr>
      </w:pPr>
      <w:r>
        <w:rPr>
          <w:rFonts w:hAnsi="新細明體" w:hint="eastAsia"/>
          <w:kern w:val="0"/>
          <w:lang w:eastAsia="zh-HK"/>
        </w:rPr>
        <w:lastRenderedPageBreak/>
        <w:t>當事人</w:t>
      </w:r>
      <w:r w:rsidRPr="000819AB">
        <w:rPr>
          <w:rFonts w:hAnsi="新細明體"/>
          <w:kern w:val="0"/>
        </w:rPr>
        <w:t>是為</w:t>
      </w:r>
      <w:r w:rsidRPr="00251CCF">
        <w:rPr>
          <w:noProof/>
        </w:rPr>
        <w:t>本身帳戶</w:t>
      </w:r>
      <w:r w:rsidRPr="000819AB">
        <w:rPr>
          <w:rFonts w:hAnsi="新細明體"/>
          <w:kern w:val="0"/>
        </w:rPr>
        <w:t>進行</w:t>
      </w:r>
      <w:r>
        <w:rPr>
          <w:rFonts w:hAnsi="新細明體" w:hint="eastAsia"/>
          <w:kern w:val="0"/>
          <w:lang w:eastAsia="zh-HK"/>
        </w:rPr>
        <w:t>交易</w:t>
      </w:r>
      <w:r w:rsidRPr="000819AB">
        <w:rPr>
          <w:rFonts w:hAnsi="新細明體"/>
          <w:kern w:val="0"/>
        </w:rPr>
        <w:t>的</w:t>
      </w:r>
      <w:r w:rsidRPr="000819AB">
        <w:rPr>
          <w:rFonts w:hAnsi="新細明體"/>
          <w:bCs/>
          <w:noProof/>
          <w:kern w:val="0"/>
        </w:rPr>
        <w:t>。</w:t>
      </w:r>
      <w:r>
        <w:rPr>
          <w:rFonts w:ascii="新細明體" w:hAnsi="新細明體" w:cs="新細明體" w:hint="eastAsia"/>
        </w:rPr>
        <w:t>由於當事人是獲得上海交易所授權為對於某些範圍廣泛的跟蹤指數交易所買賣基金</w:t>
      </w:r>
      <w:r w:rsidRPr="001F5E7C">
        <w:t>(</w:t>
      </w:r>
      <w:r>
        <w:t>“</w:t>
      </w:r>
      <w:r>
        <w:rPr>
          <w:rFonts w:eastAsia="Times New Roman"/>
        </w:rPr>
        <w:t>ETF”)</w:t>
      </w:r>
      <w:r>
        <w:rPr>
          <w:rFonts w:ascii="新細明體" w:hAnsi="新細明體" w:cs="新細明體" w:hint="eastAsia"/>
        </w:rPr>
        <w:t>的做市商，有關證券交易源於當事人進行其做市服務而申購及贖回之</w:t>
      </w:r>
      <w:r w:rsidRPr="001F5E7C">
        <w:t>ETF</w:t>
      </w:r>
      <w:r>
        <w:rPr>
          <w:rFonts w:ascii="新細明體" w:hAnsi="新細明體" w:cs="新細明體" w:hint="eastAsia"/>
        </w:rPr>
        <w:t>的單位，當事人沒有為索取做市</w:t>
      </w:r>
      <w:r>
        <w:rPr>
          <w:rFonts w:ascii="新細明體" w:hAnsi="新細明體" w:cs="新細明體" w:hint="eastAsia"/>
          <w:lang w:eastAsia="zh-HK"/>
        </w:rPr>
        <w:t>服</w:t>
      </w:r>
      <w:r>
        <w:rPr>
          <w:rFonts w:ascii="新細明體" w:hAnsi="新細明體" w:cs="新細明體" w:hint="eastAsia"/>
        </w:rPr>
        <w:t>務而主動聯絡投資者進行申購</w:t>
      </w:r>
      <w:r>
        <w:rPr>
          <w:rFonts w:ascii="新細明體" w:hAnsi="新細明體" w:cs="新細明體" w:hint="eastAsia"/>
          <w:lang w:eastAsia="zh-HK"/>
        </w:rPr>
        <w:t>及</w:t>
      </w:r>
      <w:r>
        <w:rPr>
          <w:rFonts w:ascii="新細明體" w:hAnsi="新細明體" w:cs="新細明體" w:hint="eastAsia"/>
        </w:rPr>
        <w:t>贖回有關</w:t>
      </w:r>
      <w:r>
        <w:rPr>
          <w:rFonts w:eastAsia="Times New Roman"/>
        </w:rPr>
        <w:t>ETF</w:t>
      </w:r>
      <w:r>
        <w:rPr>
          <w:rFonts w:ascii="新細明體" w:hAnsi="新細明體" w:cs="新細明體" w:hint="eastAsia"/>
        </w:rPr>
        <w:t>單位。</w:t>
      </w:r>
    </w:p>
    <w:p w:rsidR="008D2FE8" w:rsidRPr="00794ACE" w:rsidRDefault="008D2FE8" w:rsidP="008D2FE8">
      <w:pPr>
        <w:widowControl/>
        <w:topLinePunct/>
        <w:adjustRightInd w:val="0"/>
        <w:rPr>
          <w:color w:val="auto"/>
        </w:rPr>
      </w:pPr>
      <w:r>
        <w:rPr>
          <w:rFonts w:hAnsi="新細明體" w:hint="eastAsia"/>
          <w:bCs/>
          <w:noProof/>
          <w:kern w:val="0"/>
          <w:lang w:eastAsia="zh-HK"/>
        </w:rPr>
        <w:t>有關證券僅為公司的</w:t>
      </w:r>
      <w:r>
        <w:rPr>
          <w:rFonts w:hAnsi="新細明體" w:hint="eastAsia"/>
          <w:bCs/>
          <w:noProof/>
          <w:kern w:val="0"/>
          <w:lang w:eastAsia="zh-HK"/>
        </w:rPr>
        <w:t>A</w:t>
      </w:r>
      <w:r>
        <w:rPr>
          <w:rFonts w:hAnsi="新細明體" w:hint="eastAsia"/>
          <w:bCs/>
          <w:noProof/>
          <w:kern w:val="0"/>
          <w:lang w:eastAsia="zh-HK"/>
        </w:rPr>
        <w:t>股股份。</w:t>
      </w:r>
    </w:p>
    <w:p w:rsidR="00BD6CD7" w:rsidRPr="00251CCF" w:rsidRDefault="008D2FE8" w:rsidP="008D2FE8">
      <w:pPr>
        <w:widowControl/>
        <w:topLinePunct/>
        <w:adjustRightInd w:val="0"/>
        <w:rPr>
          <w:color w:val="auto"/>
        </w:rPr>
      </w:pPr>
      <w:r w:rsidRPr="00251CCF">
        <w:rPr>
          <w:rFonts w:hint="eastAsia"/>
          <w:noProof/>
          <w:color w:val="auto"/>
        </w:rPr>
        <w:t>招商證券股份有限公司</w:t>
      </w:r>
      <w:r w:rsidRPr="000819AB">
        <w:rPr>
          <w:rFonts w:hAnsi="新細明體"/>
          <w:bCs/>
          <w:noProof/>
          <w:kern w:val="0"/>
        </w:rPr>
        <w:t>是最終由</w:t>
      </w:r>
      <w:r w:rsidRPr="00251CCF">
        <w:rPr>
          <w:rFonts w:hint="eastAsia"/>
          <w:noProof/>
        </w:rPr>
        <w:t>招商局集團有限公司</w:t>
      </w:r>
      <w:r w:rsidRPr="000819AB">
        <w:rPr>
          <w:rFonts w:hAnsi="新細明體"/>
          <w:bCs/>
          <w:noProof/>
          <w:kern w:val="0"/>
        </w:rPr>
        <w:t>擁有的公司。</w:t>
      </w:r>
    </w:p>
    <w:sectPr w:rsidR="00BD6CD7" w:rsidRPr="00251CCF" w:rsidSect="00964028">
      <w:headerReference w:type="default" r:id="rId10"/>
      <w:headerReference w:type="first" r:id="rId11"/>
      <w:pgSz w:w="16839" w:h="11907" w:orient="landscape" w:code="9"/>
      <w:pgMar w:top="720" w:right="720" w:bottom="720" w:left="720" w:header="864" w:footer="86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5A" w:rsidRDefault="00C50A5A" w:rsidP="00095445">
      <w:r>
        <w:separator/>
      </w:r>
    </w:p>
  </w:endnote>
  <w:endnote w:type="continuationSeparator" w:id="0">
    <w:p w:rsidR="00C50A5A" w:rsidRDefault="00C50A5A" w:rsidP="0009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5A" w:rsidRDefault="00C50A5A" w:rsidP="00095445">
      <w:r>
        <w:separator/>
      </w:r>
    </w:p>
  </w:footnote>
  <w:footnote w:type="continuationSeparator" w:id="0">
    <w:p w:rsidR="00C50A5A" w:rsidRDefault="00C50A5A" w:rsidP="0009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45" w:rsidRPr="00251CCF" w:rsidRDefault="00964028" w:rsidP="009C5AB5">
    <w:pPr>
      <w:pStyle w:val="Header"/>
      <w:tabs>
        <w:tab w:val="left" w:pos="585"/>
        <w:tab w:val="right" w:pos="15399"/>
      </w:tabs>
      <w:rPr>
        <w:rFonts w:ascii="Arial" w:hAnsi="Arial" w:cs="Arial"/>
        <w:b/>
        <w:color w:val="83898E"/>
        <w:sz w:val="28"/>
        <w:szCs w:val="28"/>
      </w:rPr>
    </w:pPr>
    <w:r>
      <w:rPr>
        <w:noProof/>
        <w:sz w:val="16"/>
        <w:szCs w:val="16"/>
        <w:lang w:val="en-GB" w:eastAsia="zh-CN"/>
      </w:rPr>
      <w:drawing>
        <wp:anchor distT="0" distB="0" distL="114300" distR="114300" simplePos="0" relativeHeight="251662848" behindDoc="0" locked="0" layoutInCell="1" allowOverlap="1" wp14:anchorId="1087FCAB" wp14:editId="4BF4E36B">
          <wp:simplePos x="0" y="0"/>
          <wp:positionH relativeFrom="column">
            <wp:posOffset>0</wp:posOffset>
          </wp:positionH>
          <wp:positionV relativeFrom="page">
            <wp:posOffset>548005</wp:posOffset>
          </wp:positionV>
          <wp:extent cx="894938" cy="538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4938" cy="538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5AB5">
      <w:rPr>
        <w:rFonts w:ascii="Arial" w:hAnsi="Arial" w:cs="Arial"/>
        <w:b/>
        <w:noProof/>
        <w:color w:val="83898E"/>
        <w:sz w:val="28"/>
        <w:szCs w:val="28"/>
        <w:lang w:val="en-GB"/>
      </w:rPr>
      <w:tab/>
    </w:r>
    <w:r w:rsidR="009C5AB5">
      <w:rPr>
        <w:rFonts w:ascii="Arial" w:hAnsi="Arial" w:cs="Arial"/>
        <w:b/>
        <w:noProof/>
        <w:color w:val="83898E"/>
        <w:sz w:val="28"/>
        <w:szCs w:val="28"/>
        <w:lang w:val="en-GB"/>
      </w:rPr>
      <w:tab/>
    </w:r>
    <w:r w:rsidR="009C5AB5">
      <w:rPr>
        <w:rFonts w:ascii="Arial" w:hAnsi="Arial" w:cs="Arial"/>
        <w:b/>
        <w:noProof/>
        <w:color w:val="83898E"/>
        <w:sz w:val="28"/>
        <w:szCs w:val="28"/>
        <w:lang w:val="en-GB"/>
      </w:rPr>
      <w:tab/>
    </w:r>
    <w:r w:rsidR="009C5AB5">
      <w:rPr>
        <w:rFonts w:ascii="Arial" w:hAnsi="Arial" w:cs="Arial"/>
        <w:b/>
        <w:noProof/>
        <w:color w:val="83898E"/>
        <w:sz w:val="28"/>
        <w:szCs w:val="28"/>
        <w:lang w:val="en-GB"/>
      </w:rPr>
      <w:tab/>
    </w:r>
    <w:r w:rsidR="007219EC">
      <w:rPr>
        <w:rFonts w:ascii="Arial" w:hAnsi="Arial" w:cs="Arial" w:hint="eastAsia"/>
        <w:b/>
        <w:noProof/>
        <w:color w:val="83898E"/>
        <w:sz w:val="28"/>
        <w:szCs w:val="28"/>
        <w:lang w:val="en-GB"/>
      </w:rPr>
      <w:t>交易披露</w:t>
    </w:r>
  </w:p>
  <w:p w:rsidR="00095445" w:rsidRPr="00251CCF" w:rsidRDefault="00095445" w:rsidP="00095445">
    <w:pPr>
      <w:pStyle w:val="Header"/>
      <w:jc w:val="right"/>
      <w:rPr>
        <w:rFonts w:ascii="Arial" w:hAnsi="Arial" w:cs="Arial"/>
        <w:b/>
        <w:color w:val="83898E"/>
        <w:sz w:val="28"/>
        <w:szCs w:val="28"/>
      </w:rPr>
    </w:pPr>
  </w:p>
  <w:p w:rsidR="00095445" w:rsidRPr="00251CCF" w:rsidRDefault="00095445" w:rsidP="00095445">
    <w:pPr>
      <w:pStyle w:val="Header"/>
      <w:jc w:val="right"/>
      <w:rPr>
        <w:rFonts w:ascii="Arial" w:hAnsi="Arial" w:cs="Arial"/>
        <w:b/>
        <w:color w:val="83898E"/>
        <w:sz w:val="28"/>
        <w:szCs w:val="28"/>
      </w:rPr>
    </w:pPr>
  </w:p>
  <w:p w:rsidR="00095445" w:rsidRDefault="00095445" w:rsidP="00095445">
    <w:pPr>
      <w:pStyle w:val="Header"/>
      <w:jc w:val="right"/>
      <w:rPr>
        <w:rFonts w:ascii="Arial" w:hAnsi="Arial" w:cs="Arial"/>
      </w:rPr>
    </w:pPr>
  </w:p>
  <w:p w:rsidR="009C5AB5" w:rsidRPr="00251CCF" w:rsidRDefault="009C5AB5" w:rsidP="00095445">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AB5" w:rsidRDefault="00964028" w:rsidP="00964028">
    <w:pPr>
      <w:pStyle w:val="Header"/>
      <w:jc w:val="right"/>
    </w:pPr>
    <w:r>
      <w:rPr>
        <w:noProof/>
        <w:lang w:val="en-GB" w:eastAsia="zh-CN"/>
      </w:rPr>
      <w:drawing>
        <wp:anchor distT="0" distB="0" distL="114300" distR="114300" simplePos="0" relativeHeight="251660800" behindDoc="0" locked="0" layoutInCell="1" allowOverlap="1" wp14:anchorId="5B4BFAB3" wp14:editId="0CDD8D2E">
          <wp:simplePos x="0" y="0"/>
          <wp:positionH relativeFrom="column">
            <wp:posOffset>0</wp:posOffset>
          </wp:positionH>
          <wp:positionV relativeFrom="page">
            <wp:posOffset>548005</wp:posOffset>
          </wp:positionV>
          <wp:extent cx="2195830" cy="721360"/>
          <wp:effectExtent l="0" t="0" r="0" b="0"/>
          <wp:wrapThrough wrapText="bothSides">
            <wp:wrapPolygon edited="0">
              <wp:start x="0" y="0"/>
              <wp:lineTo x="0" y="7606"/>
              <wp:lineTo x="999" y="12169"/>
              <wp:lineTo x="999" y="15972"/>
              <wp:lineTo x="4497" y="20535"/>
              <wp:lineTo x="7246" y="20535"/>
              <wp:lineTo x="21238" y="20535"/>
              <wp:lineTo x="21238" y="13690"/>
              <wp:lineTo x="18239" y="12169"/>
              <wp:lineTo x="18489" y="7606"/>
              <wp:lineTo x="7496" y="0"/>
              <wp:lineTo x="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83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hint="eastAsia"/>
        <w:b/>
        <w:noProof/>
        <w:color w:val="83898E"/>
        <w:sz w:val="28"/>
        <w:szCs w:val="28"/>
        <w:lang w:val="en-GB"/>
      </w:rPr>
      <w:t>交易披露</w:t>
    </w:r>
  </w:p>
  <w:p w:rsidR="00964028" w:rsidRDefault="00964028">
    <w:pPr>
      <w:pStyle w:val="Header"/>
    </w:pPr>
  </w:p>
  <w:p w:rsidR="00964028" w:rsidRDefault="00964028">
    <w:pPr>
      <w:pStyle w:val="Header"/>
    </w:pPr>
  </w:p>
  <w:p w:rsidR="00964028" w:rsidRDefault="00964028">
    <w:pPr>
      <w:pStyle w:val="Header"/>
    </w:pPr>
  </w:p>
  <w:p w:rsidR="00964028" w:rsidRDefault="00964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445"/>
    <w:rsid w:val="00000890"/>
    <w:rsid w:val="00002D23"/>
    <w:rsid w:val="00004E1E"/>
    <w:rsid w:val="00005022"/>
    <w:rsid w:val="000052C0"/>
    <w:rsid w:val="00012BFF"/>
    <w:rsid w:val="00013571"/>
    <w:rsid w:val="00014B31"/>
    <w:rsid w:val="000211D2"/>
    <w:rsid w:val="00022EF8"/>
    <w:rsid w:val="00023CE5"/>
    <w:rsid w:val="00042BCF"/>
    <w:rsid w:val="00043DF2"/>
    <w:rsid w:val="00044F12"/>
    <w:rsid w:val="0005359F"/>
    <w:rsid w:val="00057782"/>
    <w:rsid w:val="00057E35"/>
    <w:rsid w:val="000631C2"/>
    <w:rsid w:val="00070954"/>
    <w:rsid w:val="00072153"/>
    <w:rsid w:val="00074B36"/>
    <w:rsid w:val="0008754C"/>
    <w:rsid w:val="00087EA7"/>
    <w:rsid w:val="000905D3"/>
    <w:rsid w:val="00090A31"/>
    <w:rsid w:val="00094EA3"/>
    <w:rsid w:val="00095445"/>
    <w:rsid w:val="00097042"/>
    <w:rsid w:val="00097D84"/>
    <w:rsid w:val="000A04D3"/>
    <w:rsid w:val="000A230E"/>
    <w:rsid w:val="000A2D32"/>
    <w:rsid w:val="000A45BF"/>
    <w:rsid w:val="000B0181"/>
    <w:rsid w:val="000C3929"/>
    <w:rsid w:val="000C3C4A"/>
    <w:rsid w:val="000C52BA"/>
    <w:rsid w:val="000D0786"/>
    <w:rsid w:val="000D7135"/>
    <w:rsid w:val="00103085"/>
    <w:rsid w:val="00104FCE"/>
    <w:rsid w:val="0010781A"/>
    <w:rsid w:val="0012673C"/>
    <w:rsid w:val="001442E7"/>
    <w:rsid w:val="0015088D"/>
    <w:rsid w:val="001611BB"/>
    <w:rsid w:val="00163649"/>
    <w:rsid w:val="0018327A"/>
    <w:rsid w:val="00185217"/>
    <w:rsid w:val="00186BEB"/>
    <w:rsid w:val="00187B07"/>
    <w:rsid w:val="001958E8"/>
    <w:rsid w:val="001963C7"/>
    <w:rsid w:val="001A5436"/>
    <w:rsid w:val="001A66EC"/>
    <w:rsid w:val="001B306D"/>
    <w:rsid w:val="001B6F21"/>
    <w:rsid w:val="001C50A3"/>
    <w:rsid w:val="001C5818"/>
    <w:rsid w:val="001D3BC5"/>
    <w:rsid w:val="001D3F1B"/>
    <w:rsid w:val="001D79FE"/>
    <w:rsid w:val="001E2EEC"/>
    <w:rsid w:val="001F74E1"/>
    <w:rsid w:val="00214621"/>
    <w:rsid w:val="00220CF8"/>
    <w:rsid w:val="002212CA"/>
    <w:rsid w:val="002247E1"/>
    <w:rsid w:val="002419AC"/>
    <w:rsid w:val="00246212"/>
    <w:rsid w:val="00246CA4"/>
    <w:rsid w:val="00250EE7"/>
    <w:rsid w:val="00251CCF"/>
    <w:rsid w:val="002616A6"/>
    <w:rsid w:val="00266358"/>
    <w:rsid w:val="00276DA2"/>
    <w:rsid w:val="002818C4"/>
    <w:rsid w:val="00282EFF"/>
    <w:rsid w:val="00286D70"/>
    <w:rsid w:val="00293465"/>
    <w:rsid w:val="00295EA4"/>
    <w:rsid w:val="002A3F92"/>
    <w:rsid w:val="002B6F91"/>
    <w:rsid w:val="002C2988"/>
    <w:rsid w:val="002C3719"/>
    <w:rsid w:val="002D6B63"/>
    <w:rsid w:val="002E2672"/>
    <w:rsid w:val="002E4CB3"/>
    <w:rsid w:val="002E4E9B"/>
    <w:rsid w:val="002E6597"/>
    <w:rsid w:val="002F3713"/>
    <w:rsid w:val="002F4DA7"/>
    <w:rsid w:val="00307689"/>
    <w:rsid w:val="0031496D"/>
    <w:rsid w:val="00314E54"/>
    <w:rsid w:val="00322E4C"/>
    <w:rsid w:val="003251AA"/>
    <w:rsid w:val="003257DD"/>
    <w:rsid w:val="00330C07"/>
    <w:rsid w:val="00330ECD"/>
    <w:rsid w:val="00332BB0"/>
    <w:rsid w:val="00335251"/>
    <w:rsid w:val="003367F3"/>
    <w:rsid w:val="00347868"/>
    <w:rsid w:val="003644DB"/>
    <w:rsid w:val="00371B28"/>
    <w:rsid w:val="003745FF"/>
    <w:rsid w:val="00383041"/>
    <w:rsid w:val="00383B1C"/>
    <w:rsid w:val="003930AB"/>
    <w:rsid w:val="00397588"/>
    <w:rsid w:val="003A1FC8"/>
    <w:rsid w:val="003A54B5"/>
    <w:rsid w:val="003B5C55"/>
    <w:rsid w:val="003B6290"/>
    <w:rsid w:val="003C6F0F"/>
    <w:rsid w:val="003D34E2"/>
    <w:rsid w:val="003D4F6D"/>
    <w:rsid w:val="003D7392"/>
    <w:rsid w:val="003F39B1"/>
    <w:rsid w:val="003F59F2"/>
    <w:rsid w:val="004107B7"/>
    <w:rsid w:val="0041240A"/>
    <w:rsid w:val="00413ED3"/>
    <w:rsid w:val="004150CE"/>
    <w:rsid w:val="00416DB3"/>
    <w:rsid w:val="00421933"/>
    <w:rsid w:val="00424B0A"/>
    <w:rsid w:val="00427B6F"/>
    <w:rsid w:val="00431C5E"/>
    <w:rsid w:val="00434BCD"/>
    <w:rsid w:val="004364C3"/>
    <w:rsid w:val="004368CB"/>
    <w:rsid w:val="004426BC"/>
    <w:rsid w:val="00447101"/>
    <w:rsid w:val="004568DC"/>
    <w:rsid w:val="00460625"/>
    <w:rsid w:val="004621FF"/>
    <w:rsid w:val="00462BC6"/>
    <w:rsid w:val="0046736A"/>
    <w:rsid w:val="0047498B"/>
    <w:rsid w:val="004812B3"/>
    <w:rsid w:val="0048189C"/>
    <w:rsid w:val="0048191E"/>
    <w:rsid w:val="00482E83"/>
    <w:rsid w:val="00487069"/>
    <w:rsid w:val="00487940"/>
    <w:rsid w:val="0049234F"/>
    <w:rsid w:val="004A19FF"/>
    <w:rsid w:val="004A1A68"/>
    <w:rsid w:val="004A47D1"/>
    <w:rsid w:val="004B493C"/>
    <w:rsid w:val="004B7789"/>
    <w:rsid w:val="004C389B"/>
    <w:rsid w:val="004C4E7F"/>
    <w:rsid w:val="004F4F20"/>
    <w:rsid w:val="004F6CDB"/>
    <w:rsid w:val="0050002A"/>
    <w:rsid w:val="005036A3"/>
    <w:rsid w:val="00510E3F"/>
    <w:rsid w:val="00512543"/>
    <w:rsid w:val="00520F4B"/>
    <w:rsid w:val="00543322"/>
    <w:rsid w:val="00547242"/>
    <w:rsid w:val="005530D7"/>
    <w:rsid w:val="00555FCB"/>
    <w:rsid w:val="00556AE7"/>
    <w:rsid w:val="0057381B"/>
    <w:rsid w:val="00580C68"/>
    <w:rsid w:val="0058416F"/>
    <w:rsid w:val="005921CE"/>
    <w:rsid w:val="005A1CE3"/>
    <w:rsid w:val="005A793D"/>
    <w:rsid w:val="005B076D"/>
    <w:rsid w:val="005B5752"/>
    <w:rsid w:val="005C4AAD"/>
    <w:rsid w:val="005C7BB9"/>
    <w:rsid w:val="005E3A8E"/>
    <w:rsid w:val="005F53A3"/>
    <w:rsid w:val="005F6A83"/>
    <w:rsid w:val="006014DA"/>
    <w:rsid w:val="00602260"/>
    <w:rsid w:val="00604C1F"/>
    <w:rsid w:val="00604C3D"/>
    <w:rsid w:val="006076BD"/>
    <w:rsid w:val="00607D42"/>
    <w:rsid w:val="006132BA"/>
    <w:rsid w:val="00614AC3"/>
    <w:rsid w:val="00616E4C"/>
    <w:rsid w:val="00621F0E"/>
    <w:rsid w:val="00623937"/>
    <w:rsid w:val="00625F92"/>
    <w:rsid w:val="006267CA"/>
    <w:rsid w:val="00633CB7"/>
    <w:rsid w:val="0064433D"/>
    <w:rsid w:val="00645666"/>
    <w:rsid w:val="0064768A"/>
    <w:rsid w:val="00654B1D"/>
    <w:rsid w:val="00657638"/>
    <w:rsid w:val="0066427E"/>
    <w:rsid w:val="00674DE0"/>
    <w:rsid w:val="00676894"/>
    <w:rsid w:val="00677E3D"/>
    <w:rsid w:val="0068320D"/>
    <w:rsid w:val="00685B23"/>
    <w:rsid w:val="00691FC8"/>
    <w:rsid w:val="00693D47"/>
    <w:rsid w:val="00694BC4"/>
    <w:rsid w:val="00694C32"/>
    <w:rsid w:val="006A5D2B"/>
    <w:rsid w:val="006A5F2B"/>
    <w:rsid w:val="006A6E89"/>
    <w:rsid w:val="006B6262"/>
    <w:rsid w:val="006C1F3C"/>
    <w:rsid w:val="006C51B9"/>
    <w:rsid w:val="006E1D08"/>
    <w:rsid w:val="006E369F"/>
    <w:rsid w:val="006E68CF"/>
    <w:rsid w:val="006F0EE4"/>
    <w:rsid w:val="006F1B42"/>
    <w:rsid w:val="00702FF1"/>
    <w:rsid w:val="00703212"/>
    <w:rsid w:val="00710EC4"/>
    <w:rsid w:val="007219EC"/>
    <w:rsid w:val="007256D3"/>
    <w:rsid w:val="007260E4"/>
    <w:rsid w:val="00733D29"/>
    <w:rsid w:val="007367AE"/>
    <w:rsid w:val="007458C5"/>
    <w:rsid w:val="0075357B"/>
    <w:rsid w:val="0075752A"/>
    <w:rsid w:val="00762E58"/>
    <w:rsid w:val="00770D7D"/>
    <w:rsid w:val="00772AA3"/>
    <w:rsid w:val="00775142"/>
    <w:rsid w:val="00775391"/>
    <w:rsid w:val="0078627A"/>
    <w:rsid w:val="00787FC8"/>
    <w:rsid w:val="00793072"/>
    <w:rsid w:val="00793731"/>
    <w:rsid w:val="007A31C3"/>
    <w:rsid w:val="007B73E6"/>
    <w:rsid w:val="007C7CBB"/>
    <w:rsid w:val="007D15F5"/>
    <w:rsid w:val="007D677E"/>
    <w:rsid w:val="007D6C28"/>
    <w:rsid w:val="007E3AAD"/>
    <w:rsid w:val="007F76EB"/>
    <w:rsid w:val="008136E8"/>
    <w:rsid w:val="00821203"/>
    <w:rsid w:val="0082312D"/>
    <w:rsid w:val="00825A80"/>
    <w:rsid w:val="008328BA"/>
    <w:rsid w:val="00837502"/>
    <w:rsid w:val="00837C48"/>
    <w:rsid w:val="00841EA7"/>
    <w:rsid w:val="00842972"/>
    <w:rsid w:val="0085093B"/>
    <w:rsid w:val="0086053E"/>
    <w:rsid w:val="00863DD7"/>
    <w:rsid w:val="00865CEB"/>
    <w:rsid w:val="00866FB1"/>
    <w:rsid w:val="00870E0A"/>
    <w:rsid w:val="008771CF"/>
    <w:rsid w:val="008807FA"/>
    <w:rsid w:val="008906B3"/>
    <w:rsid w:val="008922BC"/>
    <w:rsid w:val="008941B0"/>
    <w:rsid w:val="008958C4"/>
    <w:rsid w:val="008A3857"/>
    <w:rsid w:val="008A5784"/>
    <w:rsid w:val="008B52DF"/>
    <w:rsid w:val="008C3518"/>
    <w:rsid w:val="008D04A2"/>
    <w:rsid w:val="008D2D80"/>
    <w:rsid w:val="008D2FE8"/>
    <w:rsid w:val="008E0619"/>
    <w:rsid w:val="00901C7D"/>
    <w:rsid w:val="009047EF"/>
    <w:rsid w:val="00906206"/>
    <w:rsid w:val="00907E54"/>
    <w:rsid w:val="009146EA"/>
    <w:rsid w:val="00932E4E"/>
    <w:rsid w:val="0093760F"/>
    <w:rsid w:val="00943F29"/>
    <w:rsid w:val="00946032"/>
    <w:rsid w:val="00951F12"/>
    <w:rsid w:val="00952B85"/>
    <w:rsid w:val="0096246C"/>
    <w:rsid w:val="00964028"/>
    <w:rsid w:val="0096480A"/>
    <w:rsid w:val="00976E3A"/>
    <w:rsid w:val="00984406"/>
    <w:rsid w:val="00987A85"/>
    <w:rsid w:val="00991F36"/>
    <w:rsid w:val="009B2AD3"/>
    <w:rsid w:val="009B4BE4"/>
    <w:rsid w:val="009B788E"/>
    <w:rsid w:val="009C5249"/>
    <w:rsid w:val="009C5AB5"/>
    <w:rsid w:val="009D6628"/>
    <w:rsid w:val="009E1FDD"/>
    <w:rsid w:val="009F2F64"/>
    <w:rsid w:val="009F6149"/>
    <w:rsid w:val="00A00467"/>
    <w:rsid w:val="00A063B7"/>
    <w:rsid w:val="00A07C16"/>
    <w:rsid w:val="00A115C6"/>
    <w:rsid w:val="00A11C5B"/>
    <w:rsid w:val="00A20955"/>
    <w:rsid w:val="00A225A9"/>
    <w:rsid w:val="00A30901"/>
    <w:rsid w:val="00A32C2A"/>
    <w:rsid w:val="00A3741C"/>
    <w:rsid w:val="00A400A2"/>
    <w:rsid w:val="00A474B1"/>
    <w:rsid w:val="00A4784E"/>
    <w:rsid w:val="00A47F63"/>
    <w:rsid w:val="00A512F9"/>
    <w:rsid w:val="00A558B1"/>
    <w:rsid w:val="00A579E3"/>
    <w:rsid w:val="00A61FD9"/>
    <w:rsid w:val="00A67FAD"/>
    <w:rsid w:val="00A80A94"/>
    <w:rsid w:val="00A80F44"/>
    <w:rsid w:val="00A9281C"/>
    <w:rsid w:val="00AB21F6"/>
    <w:rsid w:val="00AC1D5C"/>
    <w:rsid w:val="00AC3411"/>
    <w:rsid w:val="00AC65CB"/>
    <w:rsid w:val="00AC6EB6"/>
    <w:rsid w:val="00AC7B06"/>
    <w:rsid w:val="00AD0E76"/>
    <w:rsid w:val="00AD104C"/>
    <w:rsid w:val="00AE1A9C"/>
    <w:rsid w:val="00AE270B"/>
    <w:rsid w:val="00B00F6C"/>
    <w:rsid w:val="00B17143"/>
    <w:rsid w:val="00B26CE1"/>
    <w:rsid w:val="00B3607B"/>
    <w:rsid w:val="00B436B4"/>
    <w:rsid w:val="00B50965"/>
    <w:rsid w:val="00B741C1"/>
    <w:rsid w:val="00B87ABC"/>
    <w:rsid w:val="00B87B30"/>
    <w:rsid w:val="00B91B53"/>
    <w:rsid w:val="00BA0373"/>
    <w:rsid w:val="00BA25CC"/>
    <w:rsid w:val="00BA55EF"/>
    <w:rsid w:val="00BB007E"/>
    <w:rsid w:val="00BB19A0"/>
    <w:rsid w:val="00BD6CD7"/>
    <w:rsid w:val="00BE23C7"/>
    <w:rsid w:val="00BF3A8A"/>
    <w:rsid w:val="00BF46CA"/>
    <w:rsid w:val="00C010FF"/>
    <w:rsid w:val="00C07A6A"/>
    <w:rsid w:val="00C239DB"/>
    <w:rsid w:val="00C40F87"/>
    <w:rsid w:val="00C41961"/>
    <w:rsid w:val="00C50A5A"/>
    <w:rsid w:val="00C53FE1"/>
    <w:rsid w:val="00C543E9"/>
    <w:rsid w:val="00C61C7D"/>
    <w:rsid w:val="00C94884"/>
    <w:rsid w:val="00C95E1D"/>
    <w:rsid w:val="00CA6DD4"/>
    <w:rsid w:val="00CB3FFD"/>
    <w:rsid w:val="00CC5967"/>
    <w:rsid w:val="00CD7A42"/>
    <w:rsid w:val="00CE119C"/>
    <w:rsid w:val="00CE5166"/>
    <w:rsid w:val="00CF0963"/>
    <w:rsid w:val="00CF4DC1"/>
    <w:rsid w:val="00CF63C2"/>
    <w:rsid w:val="00D204C6"/>
    <w:rsid w:val="00D21C11"/>
    <w:rsid w:val="00D27BA5"/>
    <w:rsid w:val="00D305C3"/>
    <w:rsid w:val="00D30FA6"/>
    <w:rsid w:val="00D32DAB"/>
    <w:rsid w:val="00D4435A"/>
    <w:rsid w:val="00D44DD4"/>
    <w:rsid w:val="00D471D9"/>
    <w:rsid w:val="00D509D1"/>
    <w:rsid w:val="00D56C92"/>
    <w:rsid w:val="00D57104"/>
    <w:rsid w:val="00D60707"/>
    <w:rsid w:val="00D659A0"/>
    <w:rsid w:val="00D71639"/>
    <w:rsid w:val="00D7399B"/>
    <w:rsid w:val="00D7549C"/>
    <w:rsid w:val="00D772B4"/>
    <w:rsid w:val="00D77802"/>
    <w:rsid w:val="00D832E5"/>
    <w:rsid w:val="00D97A88"/>
    <w:rsid w:val="00D97F0D"/>
    <w:rsid w:val="00DA00E7"/>
    <w:rsid w:val="00DA5459"/>
    <w:rsid w:val="00DA7C87"/>
    <w:rsid w:val="00DB5B87"/>
    <w:rsid w:val="00DB6F38"/>
    <w:rsid w:val="00DC55B5"/>
    <w:rsid w:val="00DC764F"/>
    <w:rsid w:val="00DE2517"/>
    <w:rsid w:val="00DE6854"/>
    <w:rsid w:val="00E024FB"/>
    <w:rsid w:val="00E12494"/>
    <w:rsid w:val="00E23714"/>
    <w:rsid w:val="00E3003C"/>
    <w:rsid w:val="00E3311D"/>
    <w:rsid w:val="00E406AC"/>
    <w:rsid w:val="00E41BEF"/>
    <w:rsid w:val="00E47DAA"/>
    <w:rsid w:val="00E54308"/>
    <w:rsid w:val="00E60F9B"/>
    <w:rsid w:val="00E632E8"/>
    <w:rsid w:val="00E74A0D"/>
    <w:rsid w:val="00E8106F"/>
    <w:rsid w:val="00E814F6"/>
    <w:rsid w:val="00E90E91"/>
    <w:rsid w:val="00EB336E"/>
    <w:rsid w:val="00EB3C5A"/>
    <w:rsid w:val="00EB438B"/>
    <w:rsid w:val="00EB7B24"/>
    <w:rsid w:val="00EC706A"/>
    <w:rsid w:val="00ED381E"/>
    <w:rsid w:val="00EE1CAD"/>
    <w:rsid w:val="00EE1CD5"/>
    <w:rsid w:val="00EE6A8A"/>
    <w:rsid w:val="00EE6DEB"/>
    <w:rsid w:val="00F06B8A"/>
    <w:rsid w:val="00F139CC"/>
    <w:rsid w:val="00F24F24"/>
    <w:rsid w:val="00F27018"/>
    <w:rsid w:val="00F408A2"/>
    <w:rsid w:val="00F417D5"/>
    <w:rsid w:val="00F4511E"/>
    <w:rsid w:val="00F46B04"/>
    <w:rsid w:val="00F50B50"/>
    <w:rsid w:val="00F516C5"/>
    <w:rsid w:val="00F52650"/>
    <w:rsid w:val="00F532D5"/>
    <w:rsid w:val="00F569C5"/>
    <w:rsid w:val="00F60411"/>
    <w:rsid w:val="00F64EB9"/>
    <w:rsid w:val="00F67391"/>
    <w:rsid w:val="00F74F74"/>
    <w:rsid w:val="00F80FE1"/>
    <w:rsid w:val="00F81B77"/>
    <w:rsid w:val="00F912C7"/>
    <w:rsid w:val="00F94A68"/>
    <w:rsid w:val="00F96DAF"/>
    <w:rsid w:val="00FB14B8"/>
    <w:rsid w:val="00FB22CD"/>
    <w:rsid w:val="00FC1952"/>
    <w:rsid w:val="00FD2B0E"/>
    <w:rsid w:val="00FD470E"/>
    <w:rsid w:val="00FF0B2E"/>
    <w:rsid w:val="00FF695C"/>
    <w:rsid w:val="00FF7618"/>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FB6325-0592-4DB9-8D9A-3C411C70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45"/>
    <w:pPr>
      <w:widowControl w:val="0"/>
    </w:pPr>
    <w:rPr>
      <w:rFonts w:ascii="Arial" w:eastAsia="新細明體" w:hAnsi="Arial" w:cs="Arial"/>
      <w:color w:val="000000"/>
      <w:sz w:val="22"/>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445"/>
    <w:pPr>
      <w:tabs>
        <w:tab w:val="center" w:pos="4153"/>
        <w:tab w:val="right" w:pos="8306"/>
      </w:tabs>
    </w:pPr>
    <w:rPr>
      <w:rFonts w:asciiTheme="minorHAnsi" w:eastAsiaTheme="minorEastAsia" w:hAnsiTheme="minorHAnsi" w:cstheme="minorBidi"/>
      <w:color w:val="auto"/>
      <w:sz w:val="24"/>
    </w:rPr>
  </w:style>
  <w:style w:type="character" w:customStyle="1" w:styleId="HeaderChar">
    <w:name w:val="Header Char"/>
    <w:basedOn w:val="DefaultParagraphFont"/>
    <w:link w:val="Header"/>
    <w:uiPriority w:val="99"/>
    <w:rsid w:val="00095445"/>
  </w:style>
  <w:style w:type="paragraph" w:styleId="Footer">
    <w:name w:val="footer"/>
    <w:basedOn w:val="Normal"/>
    <w:link w:val="FooterChar"/>
    <w:uiPriority w:val="99"/>
    <w:unhideWhenUsed/>
    <w:rsid w:val="00095445"/>
    <w:pPr>
      <w:tabs>
        <w:tab w:val="center" w:pos="4153"/>
        <w:tab w:val="right" w:pos="8306"/>
      </w:tabs>
    </w:pPr>
    <w:rPr>
      <w:rFonts w:asciiTheme="minorHAnsi" w:eastAsiaTheme="minorEastAsia" w:hAnsiTheme="minorHAnsi" w:cstheme="minorBidi"/>
      <w:color w:val="auto"/>
      <w:sz w:val="24"/>
    </w:rPr>
  </w:style>
  <w:style w:type="character" w:customStyle="1" w:styleId="FooterChar">
    <w:name w:val="Footer Char"/>
    <w:basedOn w:val="DefaultParagraphFont"/>
    <w:link w:val="Footer"/>
    <w:uiPriority w:val="99"/>
    <w:rsid w:val="00095445"/>
  </w:style>
  <w:style w:type="table" w:customStyle="1" w:styleId="SFCDefaultTableStyle">
    <w:name w:val="SFC Default Table Style"/>
    <w:basedOn w:val="TableNormal"/>
    <w:uiPriority w:val="99"/>
    <w:qFormat/>
    <w:rsid w:val="00095445"/>
    <w:rPr>
      <w:rFonts w:ascii="Arial" w:eastAsia="新細明體" w:hAnsi="Arial" w:cs="Times New Roman"/>
      <w:kern w:val="0"/>
      <w:sz w:val="22"/>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EEDF3B955C4693DF8E767040C586" ma:contentTypeVersion="" ma:contentTypeDescription="Create a new document." ma:contentTypeScope="" ma:versionID="25675aa13ef0fceaf3da8092a9f550ea">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32B55-C300-40C1-9B34-D7E48534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F932E1-B2AA-41D3-AC14-131FDC6A45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6F973-B6E1-41C1-A0AF-A70C2EAA6802}">
  <ds:schemaRefs>
    <ds:schemaRef ds:uri="http://schemas.microsoft.com/sharepoint/v3/contenttype/forms"/>
  </ds:schemaRefs>
</ds:datastoreItem>
</file>

<file path=customXml/itemProps4.xml><?xml version="1.0" encoding="utf-8"?>
<ds:datastoreItem xmlns:ds="http://schemas.openxmlformats.org/officeDocument/2006/customXml" ds:itemID="{4A6A06ED-F142-419C-A0C4-4264F75B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Hankle YH WONG</dc:creator>
  <cp:lastModifiedBy>Fiona KL NG</cp:lastModifiedBy>
  <cp:revision>3</cp:revision>
  <dcterms:created xsi:type="dcterms:W3CDTF">2019-10-21T04:56:00Z</dcterms:created>
  <dcterms:modified xsi:type="dcterms:W3CDTF">2019-10-21T05:00:00Z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0x01010014F6EEDF3B955C4693DF8E767040C586</vt:lpwstr>
  </property>
</Properties>
</file>