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EE" w:rsidRDefault="00E24090">
      <w:pPr>
        <w:spacing w:before="66" w:line="213" w:lineRule="auto"/>
        <w:ind w:left="380" w:right="383" w:hanging="1"/>
        <w:jc w:val="both"/>
        <w:rPr>
          <w:i/>
          <w:sz w:val="23"/>
          <w:lang w:eastAsia="zh-TW"/>
        </w:rPr>
      </w:pPr>
      <w:r>
        <w:rPr>
          <w:noProof/>
          <w:lang w:eastAsia="zh-CN"/>
        </w:rPr>
        <w:drawing>
          <wp:anchor distT="0" distB="0" distL="0" distR="0" simplePos="0" relativeHeight="251658240" behindDoc="0" locked="0" layoutInCell="1" allowOverlap="1">
            <wp:simplePos x="0" y="0"/>
            <wp:positionH relativeFrom="page">
              <wp:posOffset>981281</wp:posOffset>
            </wp:positionH>
            <wp:positionV relativeFrom="paragraph">
              <wp:posOffset>637676</wp:posOffset>
            </wp:positionV>
            <wp:extent cx="5681472" cy="6934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681472" cy="693420"/>
                    </a:xfrm>
                    <a:prstGeom prst="rect">
                      <a:avLst/>
                    </a:prstGeom>
                  </pic:spPr>
                </pic:pic>
              </a:graphicData>
            </a:graphic>
          </wp:anchor>
        </w:drawing>
      </w:r>
      <w:r>
        <w:rPr>
          <w:i/>
          <w:w w:val="95"/>
          <w:sz w:val="23"/>
          <w:lang w:eastAsia="zh-TW"/>
        </w:rPr>
        <w:t>香港交易及結算所有限公司及香港聯合交易所有限公司對本公告的內容概不負責，對其準確性或完整性亦不發表任何聲明，並明確表示，概不對因本公告全部或任何部份內容而產生或因倚</w:t>
      </w:r>
      <w:r>
        <w:rPr>
          <w:i/>
          <w:sz w:val="23"/>
          <w:lang w:eastAsia="zh-TW"/>
        </w:rPr>
        <w:t>賴該等內容而引致的任何損失承擔任何責任。</w:t>
      </w:r>
    </w:p>
    <w:p w:rsidR="00D71DEE" w:rsidRDefault="00E24090">
      <w:pPr>
        <w:spacing w:before="164" w:line="309" w:lineRule="exact"/>
        <w:ind w:left="810" w:right="806"/>
        <w:jc w:val="center"/>
        <w:rPr>
          <w:i/>
          <w:sz w:val="23"/>
          <w:lang w:eastAsia="zh-TW"/>
        </w:rPr>
      </w:pPr>
      <w:r>
        <w:rPr>
          <w:i/>
          <w:sz w:val="23"/>
          <w:lang w:eastAsia="zh-TW"/>
        </w:rPr>
        <w:t>（在中華人民共和國註冊成立之股份有限公司）</w:t>
      </w:r>
    </w:p>
    <w:p w:rsidR="00D71DEE" w:rsidRDefault="00E24090">
      <w:pPr>
        <w:spacing w:line="295" w:lineRule="exact"/>
        <w:ind w:left="806" w:right="806"/>
        <w:jc w:val="center"/>
        <w:rPr>
          <w:b/>
          <w:lang w:eastAsia="zh-TW"/>
        </w:rPr>
      </w:pPr>
      <w:r>
        <w:rPr>
          <w:b/>
          <w:lang w:eastAsia="zh-TW"/>
        </w:rPr>
        <w:t>（</w:t>
      </w:r>
      <w:r>
        <w:rPr>
          <w:rFonts w:ascii="Times New Roman" w:eastAsia="Times New Roman"/>
          <w:b/>
          <w:lang w:eastAsia="zh-TW"/>
        </w:rPr>
        <w:t>H</w:t>
      </w:r>
      <w:r>
        <w:rPr>
          <w:b/>
          <w:lang w:eastAsia="zh-TW"/>
        </w:rPr>
        <w:t>股股票代碼：</w:t>
      </w:r>
      <w:r>
        <w:rPr>
          <w:rFonts w:ascii="Times New Roman" w:eastAsia="Times New Roman"/>
          <w:b/>
          <w:lang w:eastAsia="zh-TW"/>
        </w:rPr>
        <w:t>00317</w:t>
      </w:r>
      <w:r>
        <w:rPr>
          <w:b/>
          <w:lang w:eastAsia="zh-TW"/>
        </w:rPr>
        <w:t>）</w:t>
      </w:r>
    </w:p>
    <w:p w:rsidR="00D71DEE" w:rsidRDefault="00E24090">
      <w:pPr>
        <w:spacing w:before="155"/>
        <w:ind w:left="809" w:right="806"/>
        <w:jc w:val="center"/>
        <w:rPr>
          <w:b/>
          <w:sz w:val="28"/>
          <w:lang w:eastAsia="zh-TW"/>
        </w:rPr>
      </w:pPr>
      <w:r>
        <w:rPr>
          <w:rFonts w:ascii="Times New Roman" w:eastAsia="Times New Roman"/>
          <w:b/>
          <w:sz w:val="28"/>
          <w:lang w:eastAsia="zh-TW"/>
        </w:rPr>
        <w:t>2020</w:t>
      </w:r>
      <w:r>
        <w:rPr>
          <w:b/>
          <w:sz w:val="28"/>
          <w:lang w:eastAsia="zh-TW"/>
        </w:rPr>
        <w:t>年第</w:t>
      </w:r>
      <w:r w:rsidR="007B5611">
        <w:rPr>
          <w:rFonts w:hint="eastAsia"/>
          <w:b/>
          <w:sz w:val="28"/>
          <w:lang w:eastAsia="zh-TW"/>
        </w:rPr>
        <w:t>二</w:t>
      </w:r>
      <w:r>
        <w:rPr>
          <w:b/>
          <w:sz w:val="28"/>
          <w:lang w:eastAsia="zh-TW"/>
        </w:rPr>
        <w:t>次臨時股東大會投票結果</w:t>
      </w:r>
    </w:p>
    <w:p w:rsidR="00D71DEE" w:rsidRDefault="00A7204A">
      <w:pPr>
        <w:pStyle w:val="a3"/>
        <w:rPr>
          <w:b/>
          <w:sz w:val="10"/>
          <w:lang w:eastAsia="zh-TW"/>
        </w:rPr>
      </w:pPr>
      <w:r w:rsidRPr="00A7204A">
        <w:pict>
          <v:shapetype id="_x0000_t202" coordsize="21600,21600" o:spt="202" path="m,l,21600r21600,l21600,xe">
            <v:stroke joinstyle="miter"/>
            <v:path gradientshapeok="t" o:connecttype="rect"/>
          </v:shapetype>
          <v:shape id="_x0000_s1027" type="#_x0000_t202" style="position:absolute;margin-left:66.6pt;margin-top:9.2pt;width:450.85pt;height:31.7pt;z-index:-251657216;mso-wrap-distance-left:0;mso-wrap-distance-right:0;mso-position-horizontal-relative:page" filled="f" strokeweight=".48pt">
            <v:textbox inset="0,0,0,0">
              <w:txbxContent>
                <w:p w:rsidR="00D71DEE" w:rsidRDefault="00E24090">
                  <w:pPr>
                    <w:pStyle w:val="a3"/>
                    <w:spacing w:before="5" w:line="223" w:lineRule="auto"/>
                    <w:ind w:left="103" w:right="107"/>
                    <w:rPr>
                      <w:lang w:eastAsia="zh-TW"/>
                    </w:rPr>
                  </w:pPr>
                  <w:r>
                    <w:rPr>
                      <w:lang w:eastAsia="zh-TW"/>
                    </w:rPr>
                    <w:t>董事會欣然宣佈，臨時股東大會已於</w:t>
                  </w:r>
                  <w:r>
                    <w:rPr>
                      <w:rFonts w:ascii="Times New Roman" w:eastAsia="Times New Roman"/>
                      <w:lang w:eastAsia="zh-TW"/>
                    </w:rPr>
                    <w:t>2020</w:t>
                  </w:r>
                  <w:r>
                    <w:rPr>
                      <w:lang w:eastAsia="zh-TW"/>
                    </w:rPr>
                    <w:t>年</w:t>
                  </w:r>
                  <w:r w:rsidR="007B5611">
                    <w:rPr>
                      <w:rFonts w:asciiTheme="minorEastAsia" w:eastAsiaTheme="minorEastAsia" w:hAnsiTheme="minorEastAsia" w:hint="eastAsia"/>
                      <w:lang w:eastAsia="zh-TW"/>
                    </w:rPr>
                    <w:t>4</w:t>
                  </w:r>
                  <w:r>
                    <w:rPr>
                      <w:lang w:eastAsia="zh-TW"/>
                    </w:rPr>
                    <w:t>月</w:t>
                  </w:r>
                  <w:r>
                    <w:rPr>
                      <w:rFonts w:ascii="Times New Roman" w:eastAsia="Times New Roman"/>
                      <w:lang w:eastAsia="zh-TW"/>
                    </w:rPr>
                    <w:t>2</w:t>
                  </w:r>
                  <w:r w:rsidR="007B5611">
                    <w:rPr>
                      <w:rFonts w:asciiTheme="minorEastAsia" w:eastAsiaTheme="minorEastAsia" w:hAnsiTheme="minorEastAsia" w:hint="eastAsia"/>
                      <w:lang w:eastAsia="zh-TW"/>
                    </w:rPr>
                    <w:t>4</w:t>
                  </w:r>
                  <w:r>
                    <w:rPr>
                      <w:lang w:eastAsia="zh-TW"/>
                    </w:rPr>
                    <w:t>日舉行及通告所載決議案已獲股東正式通過。</w:t>
                  </w:r>
                </w:p>
              </w:txbxContent>
            </v:textbox>
            <w10:wrap type="topAndBottom" anchorx="page"/>
          </v:shape>
        </w:pict>
      </w:r>
    </w:p>
    <w:p w:rsidR="00D71DEE" w:rsidRDefault="00D71DEE">
      <w:pPr>
        <w:pStyle w:val="a3"/>
        <w:spacing w:before="5"/>
        <w:rPr>
          <w:b/>
          <w:lang w:eastAsia="zh-TW"/>
        </w:rPr>
      </w:pPr>
    </w:p>
    <w:p w:rsidR="00D71DEE" w:rsidRDefault="00E24090" w:rsidP="00995628">
      <w:pPr>
        <w:pStyle w:val="a3"/>
        <w:spacing w:before="74" w:line="302" w:lineRule="auto"/>
        <w:ind w:left="380" w:right="374"/>
        <w:rPr>
          <w:lang w:eastAsia="zh-TW"/>
        </w:rPr>
      </w:pPr>
      <w:r>
        <w:rPr>
          <w:lang w:eastAsia="zh-TW"/>
        </w:rPr>
        <w:t>茲提述中船海洋與防務裝備股份有限公司（「</w:t>
      </w:r>
      <w:r>
        <w:rPr>
          <w:b/>
          <w:lang w:eastAsia="zh-TW"/>
        </w:rPr>
        <w:t>本公司</w:t>
      </w:r>
      <w:r>
        <w:rPr>
          <w:lang w:eastAsia="zh-TW"/>
        </w:rPr>
        <w:t>」或「</w:t>
      </w:r>
      <w:r>
        <w:rPr>
          <w:b/>
          <w:lang w:eastAsia="zh-TW"/>
        </w:rPr>
        <w:t>公司</w:t>
      </w:r>
      <w:r>
        <w:rPr>
          <w:lang w:eastAsia="zh-TW"/>
        </w:rPr>
        <w:t>」）日期為</w:t>
      </w:r>
      <w:r>
        <w:rPr>
          <w:rFonts w:ascii="Times New Roman" w:eastAsia="Times New Roman"/>
          <w:lang w:eastAsia="zh-TW"/>
        </w:rPr>
        <w:t>20</w:t>
      </w:r>
      <w:r w:rsidR="007B5611">
        <w:rPr>
          <w:rFonts w:ascii="Times New Roman" w:eastAsia="Times New Roman"/>
          <w:lang w:eastAsia="zh-TW"/>
        </w:rPr>
        <w:t>20</w:t>
      </w:r>
      <w:r>
        <w:rPr>
          <w:lang w:eastAsia="zh-TW"/>
        </w:rPr>
        <w:t>年</w:t>
      </w:r>
      <w:r w:rsidR="007B5611" w:rsidRPr="007B5611">
        <w:rPr>
          <w:rFonts w:ascii="Times New Roman" w:eastAsiaTheme="minorEastAsia" w:hAnsi="Times New Roman" w:cs="Times New Roman"/>
          <w:lang w:eastAsia="zh-TW"/>
        </w:rPr>
        <w:t>3</w:t>
      </w:r>
      <w:r>
        <w:rPr>
          <w:rFonts w:ascii="Times New Roman" w:eastAsia="Times New Roman"/>
          <w:lang w:eastAsia="zh-TW"/>
        </w:rPr>
        <w:t xml:space="preserve"> </w:t>
      </w:r>
      <w:r>
        <w:rPr>
          <w:lang w:eastAsia="zh-TW"/>
        </w:rPr>
        <w:t>月</w:t>
      </w:r>
      <w:r w:rsidR="007B5611" w:rsidRPr="007B5611">
        <w:rPr>
          <w:rFonts w:ascii="Times New Roman" w:eastAsiaTheme="minorEastAsia" w:hAnsi="Times New Roman" w:cs="Times New Roman"/>
          <w:lang w:eastAsia="zh-TW"/>
        </w:rPr>
        <w:t>9</w:t>
      </w:r>
      <w:r>
        <w:rPr>
          <w:lang w:eastAsia="zh-TW"/>
        </w:rPr>
        <w:t>日的關於</w:t>
      </w:r>
      <w:r>
        <w:rPr>
          <w:rFonts w:ascii="Times New Roman" w:eastAsia="Times New Roman"/>
          <w:lang w:eastAsia="zh-TW"/>
        </w:rPr>
        <w:t>2020</w:t>
      </w:r>
      <w:r>
        <w:rPr>
          <w:lang w:eastAsia="zh-TW"/>
        </w:rPr>
        <w:t>年第</w:t>
      </w:r>
      <w:r w:rsidR="00995628">
        <w:rPr>
          <w:rFonts w:hint="eastAsia"/>
          <w:lang w:eastAsia="zh-TW"/>
        </w:rPr>
        <w:t>二</w:t>
      </w:r>
      <w:r>
        <w:rPr>
          <w:lang w:eastAsia="zh-TW"/>
        </w:rPr>
        <w:t>次臨時股東大會（「</w:t>
      </w:r>
      <w:r>
        <w:rPr>
          <w:b/>
          <w:lang w:eastAsia="zh-TW"/>
        </w:rPr>
        <w:t>臨時股東大會</w:t>
      </w:r>
      <w:r>
        <w:rPr>
          <w:lang w:eastAsia="zh-TW"/>
        </w:rPr>
        <w:t>」或「</w:t>
      </w:r>
      <w:r>
        <w:rPr>
          <w:b/>
          <w:lang w:eastAsia="zh-TW"/>
        </w:rPr>
        <w:t>大會</w:t>
      </w:r>
      <w:r>
        <w:rPr>
          <w:lang w:eastAsia="zh-TW"/>
        </w:rPr>
        <w:t>」）的通告。除非另有說明，本公告中所用詞匯與</w:t>
      </w:r>
      <w:r w:rsidR="007B5611">
        <w:rPr>
          <w:rFonts w:hint="eastAsia"/>
          <w:lang w:eastAsia="zh-TW"/>
        </w:rPr>
        <w:t>臨時股東大會</w:t>
      </w:r>
      <w:r>
        <w:rPr>
          <w:lang w:eastAsia="zh-TW"/>
        </w:rPr>
        <w:t>通告中詞語之涵義相同。</w:t>
      </w:r>
    </w:p>
    <w:p w:rsidR="00D71DEE" w:rsidRDefault="00D71DEE">
      <w:pPr>
        <w:pStyle w:val="a3"/>
        <w:spacing w:before="10"/>
        <w:rPr>
          <w:sz w:val="17"/>
          <w:lang w:eastAsia="zh-TW"/>
        </w:rPr>
      </w:pPr>
    </w:p>
    <w:p w:rsidR="00D71DEE" w:rsidRDefault="00E24090">
      <w:pPr>
        <w:pStyle w:val="a3"/>
        <w:spacing w:line="300" w:lineRule="auto"/>
        <w:ind w:left="380" w:right="381"/>
        <w:jc w:val="both"/>
        <w:rPr>
          <w:lang w:eastAsia="zh-TW"/>
        </w:rPr>
      </w:pPr>
      <w:r>
        <w:rPr>
          <w:lang w:eastAsia="zh-TW"/>
        </w:rPr>
        <w:t>董事會欣然宣佈，臨時股東大會已於</w:t>
      </w:r>
      <w:r>
        <w:rPr>
          <w:rFonts w:ascii="Times New Roman" w:eastAsia="Times New Roman"/>
          <w:lang w:eastAsia="zh-TW"/>
        </w:rPr>
        <w:t>20</w:t>
      </w:r>
      <w:r w:rsidR="00BF5520">
        <w:rPr>
          <w:rFonts w:ascii="Times New Roman" w:eastAsia="宋体" w:hAnsi="Times New Roman" w:cs="Times New Roman" w:hint="eastAsia"/>
          <w:lang w:eastAsia="zh-TW"/>
        </w:rPr>
        <w:t>20</w:t>
      </w:r>
      <w:r>
        <w:rPr>
          <w:lang w:eastAsia="zh-TW"/>
        </w:rPr>
        <w:t>年</w:t>
      </w:r>
      <w:r w:rsidR="00BF5520">
        <w:rPr>
          <w:rFonts w:ascii="Times New Roman" w:eastAsia="宋体" w:hAnsi="Times New Roman" w:cs="Times New Roman" w:hint="eastAsia"/>
          <w:lang w:eastAsia="zh-TW"/>
        </w:rPr>
        <w:t>4</w:t>
      </w:r>
      <w:r>
        <w:rPr>
          <w:lang w:eastAsia="zh-TW"/>
        </w:rPr>
        <w:t>月</w:t>
      </w:r>
      <w:r w:rsidR="007B5611">
        <w:rPr>
          <w:rFonts w:ascii="Times New Roman" w:eastAsia="Times New Roman"/>
          <w:lang w:eastAsia="zh-TW"/>
        </w:rPr>
        <w:t>24</w:t>
      </w:r>
      <w:r>
        <w:rPr>
          <w:lang w:eastAsia="zh-TW"/>
        </w:rPr>
        <w:t>日上午</w:t>
      </w:r>
      <w:r>
        <w:rPr>
          <w:rFonts w:ascii="Times New Roman" w:eastAsia="Times New Roman"/>
          <w:lang w:eastAsia="zh-TW"/>
        </w:rPr>
        <w:t>10</w:t>
      </w:r>
      <w:r>
        <w:rPr>
          <w:lang w:eastAsia="zh-TW"/>
        </w:rPr>
        <w:t>時於中華人民共和國廣州市海珠區革新路</w:t>
      </w:r>
      <w:r>
        <w:rPr>
          <w:rFonts w:ascii="Times New Roman" w:eastAsia="Times New Roman"/>
          <w:lang w:eastAsia="zh-TW"/>
        </w:rPr>
        <w:t>137</w:t>
      </w:r>
      <w:r>
        <w:rPr>
          <w:lang w:eastAsia="zh-TW"/>
        </w:rPr>
        <w:t>號船舶大廈</w:t>
      </w:r>
      <w:r>
        <w:rPr>
          <w:rFonts w:ascii="Times New Roman" w:eastAsia="Times New Roman"/>
          <w:lang w:eastAsia="zh-TW"/>
        </w:rPr>
        <w:t>15</w:t>
      </w:r>
      <w:r>
        <w:rPr>
          <w:lang w:eastAsia="zh-TW"/>
        </w:rPr>
        <w:t>樓會議室舉行。</w:t>
      </w:r>
      <w:r w:rsidR="007B5611">
        <w:rPr>
          <w:rFonts w:hint="eastAsia"/>
          <w:lang w:eastAsia="zh-TW"/>
        </w:rPr>
        <w:t>臨時股東大會</w:t>
      </w:r>
      <w:r>
        <w:rPr>
          <w:lang w:eastAsia="zh-TW"/>
        </w:rPr>
        <w:t>通告中所載全部決議案均以投票方式獲與會股東及授權代理人正式通過。</w:t>
      </w:r>
    </w:p>
    <w:p w:rsidR="00D71DEE" w:rsidRDefault="00E24090">
      <w:pPr>
        <w:pStyle w:val="a3"/>
        <w:spacing w:before="164" w:line="300" w:lineRule="auto"/>
        <w:ind w:left="380" w:right="374"/>
        <w:jc w:val="both"/>
        <w:rPr>
          <w:lang w:eastAsia="zh-TW"/>
        </w:rPr>
      </w:pPr>
      <w:r>
        <w:rPr>
          <w:lang w:eastAsia="zh-TW"/>
        </w:rPr>
        <w:t>臨時股東大會由公司第九屆董事會召集，</w:t>
      </w:r>
      <w:r w:rsidR="00467387">
        <w:rPr>
          <w:rFonts w:hint="eastAsia"/>
          <w:lang w:eastAsia="zh-TW"/>
        </w:rPr>
        <w:t>公司</w:t>
      </w:r>
      <w:r w:rsidR="00467387" w:rsidRPr="00467387">
        <w:rPr>
          <w:rFonts w:eastAsia="PMingLiU" w:hint="eastAsia"/>
          <w:lang w:eastAsia="zh-TW"/>
        </w:rPr>
        <w:t>董事長韓廣德</w:t>
      </w:r>
      <w:r w:rsidR="00467387">
        <w:rPr>
          <w:rFonts w:hint="eastAsia"/>
          <w:lang w:eastAsia="zh-TW"/>
        </w:rPr>
        <w:t>先生擔</w:t>
      </w:r>
      <w:r>
        <w:rPr>
          <w:lang w:eastAsia="zh-TW"/>
        </w:rPr>
        <w:t>任大會主席。臨時股東大會的召開、召集及表決方式符合中國《公司法》、香港聯合交易所有限公司證</w:t>
      </w:r>
      <w:r w:rsidR="008C7C17">
        <w:rPr>
          <w:rFonts w:hint="eastAsia"/>
          <w:lang w:eastAsia="zh-TW"/>
        </w:rPr>
        <w:t>券上市規則（「</w:t>
      </w:r>
      <w:r w:rsidR="008C7C17">
        <w:rPr>
          <w:rFonts w:hint="eastAsia"/>
          <w:b/>
          <w:lang w:eastAsia="zh-TW"/>
        </w:rPr>
        <w:t>香港上市規則</w:t>
      </w:r>
      <w:r w:rsidR="008C7C17">
        <w:rPr>
          <w:rFonts w:hint="eastAsia"/>
          <w:lang w:eastAsia="zh-TW"/>
        </w:rPr>
        <w:t>」）和《公司章程》的規定。</w:t>
      </w:r>
    </w:p>
    <w:p w:rsidR="00D71DEE" w:rsidRDefault="008C7C17">
      <w:pPr>
        <w:pStyle w:val="a3"/>
        <w:spacing w:before="167" w:line="300" w:lineRule="auto"/>
        <w:ind w:left="380" w:right="374"/>
        <w:jc w:val="both"/>
        <w:rPr>
          <w:lang w:eastAsia="zh-TW"/>
        </w:rPr>
      </w:pPr>
      <w:r>
        <w:rPr>
          <w:rFonts w:hint="eastAsia"/>
          <w:lang w:eastAsia="zh-TW"/>
        </w:rPr>
        <w:t>本公司在任董事</w:t>
      </w:r>
      <w:r w:rsidRPr="00467387">
        <w:rPr>
          <w:rFonts w:ascii="Times New Roman" w:eastAsia="PMingLiU"/>
          <w:lang w:eastAsia="zh-TW"/>
        </w:rPr>
        <w:t>11</w:t>
      </w:r>
      <w:r>
        <w:rPr>
          <w:rFonts w:hint="eastAsia"/>
          <w:lang w:eastAsia="zh-TW"/>
        </w:rPr>
        <w:t>人，出席</w:t>
      </w:r>
      <w:r w:rsidRPr="00467387">
        <w:rPr>
          <w:rFonts w:eastAsia="PMingLiU"/>
          <w:lang w:eastAsia="zh-TW"/>
        </w:rPr>
        <w:t>5</w:t>
      </w:r>
      <w:r>
        <w:rPr>
          <w:rFonts w:hint="eastAsia"/>
          <w:lang w:eastAsia="zh-TW"/>
        </w:rPr>
        <w:t>人，其中：</w:t>
      </w:r>
      <w:r w:rsidRPr="005E6928">
        <w:rPr>
          <w:rFonts w:ascii="Times New Roman" w:eastAsia="PMingLiU" w:hAnsi="Times New Roman" w:cs="Times New Roman" w:hint="eastAsia"/>
          <w:lang w:val="en-GB" w:eastAsia="zh-TW"/>
        </w:rPr>
        <w:t>本公司</w:t>
      </w:r>
      <w:r w:rsidRPr="005E6928">
        <w:rPr>
          <w:rFonts w:ascii="Times New Roman" w:eastAsia="PMingLiU" w:hAnsi="Times New Roman" w:hint="eastAsia"/>
          <w:lang w:eastAsia="zh-TW"/>
        </w:rPr>
        <w:t>執行董事</w:t>
      </w:r>
      <w:r w:rsidRPr="00204A6A">
        <w:rPr>
          <w:rFonts w:ascii="Times New Roman" w:eastAsia="PMingLiU" w:hAnsi="Times New Roman" w:hint="eastAsia"/>
          <w:lang w:eastAsia="zh-TW"/>
        </w:rPr>
        <w:t>陳忠前先生、</w:t>
      </w:r>
      <w:r w:rsidRPr="005E6928">
        <w:rPr>
          <w:rFonts w:ascii="Times New Roman" w:eastAsia="PMingLiU" w:hAnsi="Times New Roman" w:hint="eastAsia"/>
          <w:lang w:eastAsia="zh-TW"/>
        </w:rPr>
        <w:t>盛紀綱先生</w:t>
      </w:r>
      <w:r w:rsidRPr="00467387">
        <w:rPr>
          <w:rFonts w:ascii="Times New Roman" w:eastAsia="PMingLiU" w:hAnsi="Times New Roman" w:hint="eastAsia"/>
          <w:lang w:eastAsia="zh-TW"/>
        </w:rPr>
        <w:t>及</w:t>
      </w:r>
      <w:r>
        <w:rPr>
          <w:rFonts w:ascii="Times New Roman" w:eastAsia="PMingLiU" w:hAnsi="Times New Roman" w:hint="eastAsia"/>
          <w:lang w:eastAsia="zh-TW"/>
        </w:rPr>
        <w:t>向輝明先生</w:t>
      </w:r>
      <w:r w:rsidRPr="005E6928">
        <w:rPr>
          <w:rFonts w:ascii="Times New Roman" w:eastAsia="PMingLiU" w:hAnsi="Times New Roman" w:hint="eastAsia"/>
          <w:lang w:eastAsia="zh-TW"/>
        </w:rPr>
        <w:t>，本公司非執行董事施俊先生，本公司獨立非執行董事閔衛國先生及劉人懷先生</w:t>
      </w:r>
      <w:r w:rsidRPr="005E6928">
        <w:rPr>
          <w:rFonts w:ascii="Times New Roman" w:eastAsia="PMingLiU" w:hAnsi="Times New Roman" w:cs="Times New Roman" w:hint="eastAsia"/>
          <w:lang w:val="en-GB" w:eastAsia="zh-TW"/>
        </w:rPr>
        <w:t>因</w:t>
      </w:r>
      <w:r w:rsidRPr="005E6928">
        <w:rPr>
          <w:rFonts w:ascii="Times New Roman" w:eastAsia="PMingLiU" w:hAnsi="Times New Roman" w:cs="Times New Roman" w:hint="eastAsia"/>
          <w:lang w:eastAsia="zh-TW"/>
        </w:rPr>
        <w:t>個人</w:t>
      </w:r>
      <w:r w:rsidRPr="008C7C17">
        <w:rPr>
          <w:rFonts w:ascii="Times New Roman" w:eastAsia="PMingLiU" w:hAnsi="Times New Roman" w:cs="Times New Roman" w:hint="eastAsia"/>
          <w:lang w:eastAsia="zh-TW"/>
        </w:rPr>
        <w:t>工作</w:t>
      </w:r>
      <w:r w:rsidRPr="005E6928">
        <w:rPr>
          <w:rFonts w:ascii="Times New Roman" w:eastAsia="PMingLiU" w:hAnsi="Times New Roman" w:cs="Times New Roman" w:hint="eastAsia"/>
          <w:lang w:eastAsia="zh-TW"/>
        </w:rPr>
        <w:t>原因</w:t>
      </w:r>
      <w:r w:rsidRPr="005E6928">
        <w:rPr>
          <w:rFonts w:ascii="Times New Roman" w:eastAsia="PMingLiU" w:hAnsi="Times New Roman" w:cs="Times New Roman" w:hint="eastAsia"/>
          <w:lang w:val="en-GB" w:eastAsia="zh-TW"/>
        </w:rPr>
        <w:t>未能出席</w:t>
      </w:r>
      <w:r>
        <w:rPr>
          <w:rFonts w:hint="eastAsia"/>
          <w:lang w:eastAsia="zh-TW"/>
        </w:rPr>
        <w:t>。</w:t>
      </w:r>
    </w:p>
    <w:p w:rsidR="00D71DEE" w:rsidRDefault="00467387">
      <w:pPr>
        <w:pStyle w:val="a3"/>
        <w:spacing w:before="165" w:line="304" w:lineRule="auto"/>
        <w:ind w:left="380" w:right="372"/>
        <w:jc w:val="both"/>
        <w:rPr>
          <w:lang w:eastAsia="zh-TW"/>
        </w:rPr>
      </w:pPr>
      <w:r>
        <w:rPr>
          <w:rFonts w:hint="eastAsia"/>
          <w:lang w:eastAsia="zh-TW"/>
        </w:rPr>
        <w:t>本公司在任監事</w:t>
      </w:r>
      <w:r w:rsidRPr="00467387">
        <w:rPr>
          <w:rFonts w:ascii="Times New Roman" w:eastAsia="PMingLiU"/>
          <w:lang w:eastAsia="zh-TW"/>
        </w:rPr>
        <w:t>5</w:t>
      </w:r>
      <w:r>
        <w:rPr>
          <w:rFonts w:hint="eastAsia"/>
          <w:lang w:eastAsia="zh-TW"/>
        </w:rPr>
        <w:t>人，出席</w:t>
      </w:r>
      <w:r w:rsidRPr="00467387">
        <w:rPr>
          <w:rFonts w:eastAsia="PMingLiU"/>
          <w:lang w:eastAsia="zh-TW"/>
        </w:rPr>
        <w:t>1</w:t>
      </w:r>
      <w:r>
        <w:rPr>
          <w:rFonts w:hint="eastAsia"/>
          <w:lang w:eastAsia="zh-TW"/>
        </w:rPr>
        <w:t>人，其中：</w:t>
      </w:r>
      <w:r w:rsidRPr="005E6928">
        <w:rPr>
          <w:rFonts w:ascii="Times New Roman" w:eastAsia="PMingLiU" w:hAnsi="Times New Roman" w:cs="Times New Roman" w:hint="eastAsia"/>
          <w:lang w:val="en-GB" w:eastAsia="zh-TW"/>
        </w:rPr>
        <w:t>本公司</w:t>
      </w:r>
      <w:r w:rsidRPr="005E6928">
        <w:rPr>
          <w:rFonts w:ascii="Times New Roman" w:eastAsia="PMingLiU" w:hAnsi="Times New Roman" w:cs="Times New Roman" w:hint="eastAsia"/>
          <w:lang w:eastAsia="zh-TW"/>
        </w:rPr>
        <w:t>監事傅孝思先生</w:t>
      </w:r>
      <w:r w:rsidRPr="00467387">
        <w:rPr>
          <w:rFonts w:ascii="Times New Roman" w:eastAsia="PMingLiU" w:hAnsi="Times New Roman" w:cs="Times New Roman" w:hint="eastAsia"/>
          <w:lang w:eastAsia="zh-TW"/>
        </w:rPr>
        <w:t>及陳舒女士</w:t>
      </w:r>
      <w:r w:rsidRPr="005E6928">
        <w:rPr>
          <w:rFonts w:ascii="Times New Roman" w:eastAsia="PMingLiU" w:hAnsi="Times New Roman" w:cs="Times New Roman" w:hint="eastAsia"/>
          <w:lang w:eastAsia="zh-TW"/>
        </w:rPr>
        <w:t>，職工監事麥榮枝先生及張山先生</w:t>
      </w:r>
      <w:r w:rsidRPr="005E6928">
        <w:rPr>
          <w:rFonts w:ascii="Times New Roman" w:eastAsia="PMingLiU" w:hAnsi="Times New Roman" w:cs="Times New Roman" w:hint="eastAsia"/>
          <w:lang w:val="en-GB" w:eastAsia="zh-TW"/>
        </w:rPr>
        <w:t>因</w:t>
      </w:r>
      <w:r w:rsidR="008C7C17" w:rsidRPr="005E6928">
        <w:rPr>
          <w:rFonts w:ascii="Times New Roman" w:eastAsia="PMingLiU" w:hAnsi="Times New Roman" w:cs="Times New Roman" w:hint="eastAsia"/>
          <w:lang w:eastAsia="zh-TW"/>
        </w:rPr>
        <w:t>個人</w:t>
      </w:r>
      <w:r w:rsidR="008C7C17" w:rsidRPr="008C7C17">
        <w:rPr>
          <w:rFonts w:ascii="Times New Roman" w:eastAsia="PMingLiU" w:hAnsi="Times New Roman" w:cs="Times New Roman" w:hint="eastAsia"/>
          <w:lang w:eastAsia="zh-TW"/>
        </w:rPr>
        <w:t>工作</w:t>
      </w:r>
      <w:r w:rsidR="008C7C17" w:rsidRPr="005E6928">
        <w:rPr>
          <w:rFonts w:ascii="Times New Roman" w:eastAsia="PMingLiU" w:hAnsi="Times New Roman" w:cs="Times New Roman" w:hint="eastAsia"/>
          <w:lang w:eastAsia="zh-TW"/>
        </w:rPr>
        <w:t>原因</w:t>
      </w:r>
      <w:r w:rsidR="008C7C17" w:rsidRPr="005E6928">
        <w:rPr>
          <w:rFonts w:ascii="Times New Roman" w:eastAsia="PMingLiU" w:hAnsi="Times New Roman" w:cs="Times New Roman" w:hint="eastAsia"/>
          <w:lang w:val="en-GB" w:eastAsia="zh-TW"/>
        </w:rPr>
        <w:t>未</w:t>
      </w:r>
      <w:r w:rsidRPr="005E6928">
        <w:rPr>
          <w:rFonts w:ascii="Times New Roman" w:eastAsia="PMingLiU" w:hAnsi="Times New Roman" w:cs="Times New Roman" w:hint="eastAsia"/>
          <w:lang w:val="en-GB" w:eastAsia="zh-TW"/>
        </w:rPr>
        <w:t>能出席。</w:t>
      </w:r>
      <w:r>
        <w:rPr>
          <w:rFonts w:hint="eastAsia"/>
          <w:lang w:eastAsia="zh-TW"/>
        </w:rPr>
        <w:t>本公司公司秘書李志東先生出席了臨時股東大會，</w:t>
      </w:r>
      <w:r>
        <w:rPr>
          <w:lang w:eastAsia="zh-TW"/>
        </w:rPr>
        <w:t xml:space="preserve"> </w:t>
      </w:r>
      <w:r>
        <w:rPr>
          <w:rFonts w:hint="eastAsia"/>
          <w:lang w:eastAsia="zh-TW"/>
        </w:rPr>
        <w:t>本公司財務負責人侯增全先生</w:t>
      </w:r>
      <w:r w:rsidRPr="00BF5520">
        <w:rPr>
          <w:rFonts w:hint="eastAsia"/>
          <w:lang w:eastAsia="zh-TW"/>
        </w:rPr>
        <w:t>列</w:t>
      </w:r>
      <w:r>
        <w:rPr>
          <w:rFonts w:hint="eastAsia"/>
          <w:lang w:eastAsia="zh-TW"/>
        </w:rPr>
        <w:t>席</w:t>
      </w:r>
      <w:r w:rsidRPr="00BF5520">
        <w:rPr>
          <w:rFonts w:hint="eastAsia"/>
          <w:lang w:eastAsia="zh-TW"/>
        </w:rPr>
        <w:t>了</w:t>
      </w:r>
      <w:r>
        <w:rPr>
          <w:rFonts w:hint="eastAsia"/>
          <w:lang w:eastAsia="zh-TW"/>
        </w:rPr>
        <w:t>臨時股東大會。</w:t>
      </w:r>
    </w:p>
    <w:p w:rsidR="00D71DEE" w:rsidRDefault="00E24090">
      <w:pPr>
        <w:pStyle w:val="2"/>
        <w:spacing w:before="159" w:line="417" w:lineRule="auto"/>
        <w:ind w:right="6761"/>
        <w:rPr>
          <w:lang w:eastAsia="zh-TW"/>
        </w:rPr>
      </w:pPr>
      <w:r>
        <w:rPr>
          <w:lang w:eastAsia="zh-TW"/>
        </w:rPr>
        <w:t xml:space="preserve">臨時股東大會投票結果 </w:t>
      </w:r>
      <w:r>
        <w:rPr>
          <w:spacing w:val="-2"/>
          <w:lang w:eastAsia="zh-TW"/>
        </w:rPr>
        <w:t>臨時股東大會的出席情況</w:t>
      </w:r>
    </w:p>
    <w:p w:rsidR="00D71DEE" w:rsidRDefault="00E24090" w:rsidP="00990FC8">
      <w:pPr>
        <w:pStyle w:val="a3"/>
        <w:spacing w:line="332" w:lineRule="exact"/>
        <w:ind w:left="380"/>
        <w:jc w:val="both"/>
        <w:rPr>
          <w:lang w:eastAsia="zh-TW"/>
        </w:rPr>
      </w:pPr>
      <w:r>
        <w:rPr>
          <w:lang w:eastAsia="zh-TW"/>
        </w:rPr>
        <w:t>親自及以網絡投票方式出席臨時股東大會的股東及股東代理</w:t>
      </w:r>
      <w:r w:rsidRPr="00990FC8">
        <w:rPr>
          <w:lang w:eastAsia="zh-TW"/>
        </w:rPr>
        <w:t>人</w:t>
      </w:r>
      <w:r w:rsidR="00990FC8" w:rsidRPr="00990FC8">
        <w:rPr>
          <w:rFonts w:ascii="宋体"/>
        </w:rPr>
        <w:t>16</w:t>
      </w:r>
      <w:r w:rsidRPr="00990FC8">
        <w:rPr>
          <w:lang w:eastAsia="zh-TW"/>
        </w:rPr>
        <w:t>人</w:t>
      </w:r>
      <w:r>
        <w:rPr>
          <w:lang w:eastAsia="zh-TW"/>
        </w:rPr>
        <w:t>， 代表股份</w:t>
      </w:r>
      <w:r w:rsidR="00990FC8" w:rsidRPr="00990FC8">
        <w:rPr>
          <w:lang w:eastAsia="zh-TW"/>
        </w:rPr>
        <w:t>30,093,956</w:t>
      </w:r>
      <w:r w:rsidRPr="00990FC8">
        <w:rPr>
          <w:lang w:eastAsia="zh-TW"/>
        </w:rPr>
        <w:t>股</w:t>
      </w:r>
      <w:r>
        <w:rPr>
          <w:lang w:eastAsia="zh-TW"/>
        </w:rPr>
        <w:t>。具體情況如下：</w:t>
      </w:r>
    </w:p>
    <w:p w:rsidR="00D71DEE" w:rsidRDefault="00D71DEE">
      <w:pPr>
        <w:rPr>
          <w:lang w:eastAsia="zh-TW"/>
        </w:rPr>
        <w:sectPr w:rsidR="00D71DEE">
          <w:footerReference w:type="default" r:id="rId7"/>
          <w:type w:val="continuous"/>
          <w:pgSz w:w="11910" w:h="16840"/>
          <w:pgMar w:top="1360" w:right="1060" w:bottom="1480" w:left="1060" w:header="720" w:footer="1285" w:gutter="0"/>
          <w:pgNumType w:start="1"/>
          <w:cols w:space="720"/>
        </w:sect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rPr>
          <w:sz w:val="20"/>
          <w:lang w:eastAsia="zh-TW"/>
        </w:rPr>
      </w:pPr>
    </w:p>
    <w:p w:rsidR="00D71DEE" w:rsidRDefault="00D71DEE">
      <w:pPr>
        <w:pStyle w:val="a3"/>
        <w:spacing w:before="1"/>
        <w:rPr>
          <w:sz w:val="14"/>
          <w:lang w:eastAsia="zh-TW"/>
        </w:rPr>
      </w:pPr>
    </w:p>
    <w:p w:rsidR="00D71DEE" w:rsidRDefault="00A7204A">
      <w:pPr>
        <w:pStyle w:val="a3"/>
        <w:spacing w:before="53"/>
        <w:ind w:left="255"/>
        <w:rPr>
          <w:lang w:eastAsia="zh-TW"/>
        </w:rPr>
      </w:pPr>
      <w:r>
        <w:pict>
          <v:shape id="_x0000_s1026" type="#_x0000_t202" style="position:absolute;left:0;text-align:left;margin-left:67.2pt;margin-top:-191.5pt;width:461.2pt;height:257.4pt;z-index:251660288;mso-position-horizontal-relative:page" filled="f" stroked="f">
            <v:textbox inset="0,0,0,0">
              <w:txbxContent>
                <w:tbl>
                  <w:tblPr>
                    <w:tblStyle w:val="TableNormal1"/>
                    <w:tblW w:w="11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1"/>
                    <w:gridCol w:w="2268"/>
                    <w:gridCol w:w="2268"/>
                  </w:tblGrid>
                  <w:tr w:rsidR="00990FC8" w:rsidTr="00990FC8">
                    <w:trPr>
                      <w:trHeight w:val="496"/>
                    </w:trPr>
                    <w:tc>
                      <w:tcPr>
                        <w:tcW w:w="6941" w:type="dxa"/>
                      </w:tcPr>
                      <w:p w:rsidR="00990FC8" w:rsidRDefault="00990FC8">
                        <w:pPr>
                          <w:pStyle w:val="TableParagraph"/>
                          <w:spacing w:line="324" w:lineRule="exact"/>
                          <w:ind w:left="107"/>
                          <w:rPr>
                            <w:sz w:val="24"/>
                            <w:lang w:eastAsia="zh-TW"/>
                          </w:rPr>
                        </w:pPr>
                        <w:r>
                          <w:rPr>
                            <w:rFonts w:ascii="Times New Roman" w:eastAsia="Times New Roman"/>
                            <w:sz w:val="24"/>
                            <w:lang w:eastAsia="zh-TW"/>
                          </w:rPr>
                          <w:t>1</w:t>
                        </w:r>
                        <w:r>
                          <w:rPr>
                            <w:sz w:val="24"/>
                            <w:lang w:eastAsia="zh-TW"/>
                          </w:rPr>
                          <w:t>、 出席大會的股東和股東代理人人數（人）</w:t>
                        </w:r>
                      </w:p>
                    </w:tc>
                    <w:sdt>
                      <w:sdtPr>
                        <w:rPr>
                          <w:rFonts w:ascii="宋体"/>
                          <w:sz w:val="24"/>
                        </w:rPr>
                        <w:alias w:val="出席会议的股东和代理人人数"/>
                        <w:tag w:val="_GBC_68de955aa336470c8d7a663440bc74f5"/>
                        <w:id w:val="87978638"/>
                      </w:sdtPr>
                      <w:sdtContent>
                        <w:tc>
                          <w:tcPr>
                            <w:tcW w:w="2268" w:type="dxa"/>
                            <w:vAlign w:val="center"/>
                          </w:tcPr>
                          <w:p w:rsidR="00990FC8" w:rsidRDefault="00990FC8" w:rsidP="00990FC8">
                            <w:pPr>
                              <w:spacing w:line="460" w:lineRule="exact"/>
                              <w:jc w:val="right"/>
                              <w:rPr>
                                <w:rFonts w:ascii="宋体"/>
                                <w:sz w:val="24"/>
                              </w:rPr>
                            </w:pPr>
                            <w:r>
                              <w:rPr>
                                <w:rFonts w:ascii="宋体"/>
                                <w:sz w:val="24"/>
                              </w:rPr>
                              <w:t>16</w:t>
                            </w:r>
                          </w:p>
                        </w:tc>
                      </w:sdtContent>
                    </w:sdt>
                    <w:tc>
                      <w:tcPr>
                        <w:tcW w:w="2268" w:type="dxa"/>
                      </w:tcPr>
                      <w:p w:rsidR="00990FC8" w:rsidRDefault="00990FC8">
                        <w:pPr>
                          <w:pStyle w:val="TableParagraph"/>
                          <w:spacing w:before="57"/>
                          <w:ind w:left="512" w:right="506"/>
                          <w:jc w:val="center"/>
                          <w:rPr>
                            <w:rFonts w:ascii="SimSun"/>
                            <w:sz w:val="24"/>
                            <w:lang w:eastAsia="zh-TW"/>
                          </w:rPr>
                        </w:pPr>
                      </w:p>
                    </w:tc>
                  </w:tr>
                  <w:tr w:rsidR="00990FC8" w:rsidTr="00990FC8">
                    <w:trPr>
                      <w:trHeight w:val="496"/>
                    </w:trPr>
                    <w:tc>
                      <w:tcPr>
                        <w:tcW w:w="6941" w:type="dxa"/>
                      </w:tcPr>
                      <w:p w:rsidR="00990FC8" w:rsidRDefault="00990FC8">
                        <w:pPr>
                          <w:pStyle w:val="TableParagraph"/>
                          <w:spacing w:line="324" w:lineRule="exact"/>
                          <w:ind w:left="107"/>
                          <w:rPr>
                            <w:sz w:val="24"/>
                          </w:rPr>
                        </w:pPr>
                        <w:proofErr w:type="spellStart"/>
                        <w:r>
                          <w:rPr>
                            <w:sz w:val="24"/>
                          </w:rPr>
                          <w:t>其中：</w:t>
                        </w:r>
                        <w:r>
                          <w:rPr>
                            <w:rFonts w:ascii="Times New Roman" w:eastAsia="Times New Roman"/>
                            <w:sz w:val="24"/>
                          </w:rPr>
                          <w:t>A</w:t>
                        </w:r>
                        <w:proofErr w:type="spellEnd"/>
                        <w:r>
                          <w:rPr>
                            <w:rFonts w:ascii="Times New Roman" w:eastAsia="Times New Roman"/>
                            <w:sz w:val="24"/>
                          </w:rPr>
                          <w:t xml:space="preserve"> </w:t>
                        </w:r>
                        <w:proofErr w:type="spellStart"/>
                        <w:r>
                          <w:rPr>
                            <w:sz w:val="24"/>
                          </w:rPr>
                          <w:t>股股東人數</w:t>
                        </w:r>
                        <w:proofErr w:type="spellEnd"/>
                      </w:p>
                    </w:tc>
                    <w:sdt>
                      <w:sdtPr>
                        <w:rPr>
                          <w:rFonts w:ascii="宋体"/>
                          <w:sz w:val="24"/>
                        </w:rPr>
                        <w:alias w:val="出席会议A股股东人数"/>
                        <w:tag w:val="_GBC_2e1569c5c697415bb46f56c88c0f9345"/>
                        <w:id w:val="87978640"/>
                      </w:sdtPr>
                      <w:sdtContent>
                        <w:tc>
                          <w:tcPr>
                            <w:tcW w:w="2268" w:type="dxa"/>
                            <w:vAlign w:val="center"/>
                          </w:tcPr>
                          <w:p w:rsidR="00990FC8" w:rsidRDefault="00990FC8" w:rsidP="00990FC8">
                            <w:pPr>
                              <w:spacing w:line="460" w:lineRule="exact"/>
                              <w:jc w:val="right"/>
                              <w:rPr>
                                <w:rFonts w:ascii="宋体"/>
                                <w:sz w:val="24"/>
                              </w:rPr>
                            </w:pPr>
                            <w:r>
                              <w:rPr>
                                <w:rFonts w:ascii="宋体"/>
                                <w:sz w:val="24"/>
                              </w:rPr>
                              <w:t>14</w:t>
                            </w:r>
                          </w:p>
                        </w:tc>
                      </w:sdtContent>
                    </w:sdt>
                    <w:tc>
                      <w:tcPr>
                        <w:tcW w:w="2268" w:type="dxa"/>
                      </w:tcPr>
                      <w:p w:rsidR="00990FC8" w:rsidRDefault="00990FC8">
                        <w:pPr>
                          <w:pStyle w:val="TableParagraph"/>
                          <w:spacing w:before="57"/>
                          <w:ind w:left="512" w:right="506"/>
                          <w:jc w:val="center"/>
                          <w:rPr>
                            <w:rFonts w:ascii="SimSun"/>
                            <w:sz w:val="24"/>
                          </w:rPr>
                        </w:pPr>
                      </w:p>
                    </w:tc>
                  </w:tr>
                  <w:tr w:rsidR="00990FC8" w:rsidTr="00990FC8">
                    <w:trPr>
                      <w:trHeight w:val="498"/>
                    </w:trPr>
                    <w:tc>
                      <w:tcPr>
                        <w:tcW w:w="6941" w:type="dxa"/>
                      </w:tcPr>
                      <w:p w:rsidR="00990FC8" w:rsidRDefault="00990FC8">
                        <w:pPr>
                          <w:pStyle w:val="TableParagraph"/>
                          <w:spacing w:line="326" w:lineRule="exact"/>
                          <w:ind w:left="1067"/>
                          <w:rPr>
                            <w:sz w:val="24"/>
                            <w:lang w:eastAsia="zh-TW"/>
                          </w:rPr>
                        </w:pPr>
                        <w:r>
                          <w:rPr>
                            <w:sz w:val="24"/>
                            <w:lang w:eastAsia="zh-TW"/>
                          </w:rPr>
                          <w:t>境外上市外資股股東人數（</w:t>
                        </w:r>
                        <w:r>
                          <w:rPr>
                            <w:rFonts w:ascii="Times New Roman" w:eastAsia="Times New Roman"/>
                            <w:sz w:val="24"/>
                            <w:lang w:eastAsia="zh-TW"/>
                          </w:rPr>
                          <w:t xml:space="preserve">H </w:t>
                        </w:r>
                        <w:r>
                          <w:rPr>
                            <w:sz w:val="24"/>
                            <w:lang w:eastAsia="zh-TW"/>
                          </w:rPr>
                          <w:t>股）</w:t>
                        </w:r>
                      </w:p>
                    </w:tc>
                    <w:sdt>
                      <w:sdtPr>
                        <w:rPr>
                          <w:rFonts w:ascii="宋体"/>
                          <w:sz w:val="24"/>
                        </w:rPr>
                        <w:alias w:val="出席会议H股股东人数"/>
                        <w:tag w:val="_GBC_a8a9b4c49b5b4e65ab0de2639a15532f"/>
                        <w:id w:val="87978642"/>
                      </w:sdtPr>
                      <w:sdtContent>
                        <w:tc>
                          <w:tcPr>
                            <w:tcW w:w="2268" w:type="dxa"/>
                            <w:vAlign w:val="center"/>
                          </w:tcPr>
                          <w:p w:rsidR="00990FC8" w:rsidRDefault="00990FC8" w:rsidP="00990FC8">
                            <w:pPr>
                              <w:spacing w:line="460" w:lineRule="exact"/>
                              <w:jc w:val="right"/>
                              <w:rPr>
                                <w:rFonts w:ascii="宋体"/>
                                <w:sz w:val="24"/>
                              </w:rPr>
                            </w:pPr>
                            <w:r>
                              <w:rPr>
                                <w:rFonts w:ascii="宋体"/>
                                <w:sz w:val="24"/>
                              </w:rPr>
                              <w:t>2</w:t>
                            </w:r>
                          </w:p>
                        </w:tc>
                      </w:sdtContent>
                    </w:sdt>
                    <w:tc>
                      <w:tcPr>
                        <w:tcW w:w="2268" w:type="dxa"/>
                      </w:tcPr>
                      <w:p w:rsidR="00990FC8" w:rsidRDefault="00990FC8">
                        <w:pPr>
                          <w:pStyle w:val="TableParagraph"/>
                          <w:spacing w:before="57"/>
                          <w:ind w:left="6"/>
                          <w:jc w:val="center"/>
                          <w:rPr>
                            <w:rFonts w:ascii="SimSun"/>
                            <w:sz w:val="24"/>
                            <w:lang w:eastAsia="zh-TW"/>
                          </w:rPr>
                        </w:pPr>
                      </w:p>
                    </w:tc>
                  </w:tr>
                  <w:tr w:rsidR="00990FC8" w:rsidTr="00990FC8">
                    <w:trPr>
                      <w:trHeight w:val="496"/>
                    </w:trPr>
                    <w:tc>
                      <w:tcPr>
                        <w:tcW w:w="6941" w:type="dxa"/>
                      </w:tcPr>
                      <w:p w:rsidR="00990FC8" w:rsidRDefault="00990FC8">
                        <w:pPr>
                          <w:pStyle w:val="TableParagraph"/>
                          <w:spacing w:line="324" w:lineRule="exact"/>
                          <w:ind w:left="107"/>
                          <w:rPr>
                            <w:sz w:val="24"/>
                            <w:lang w:eastAsia="zh-TW"/>
                          </w:rPr>
                        </w:pPr>
                        <w:r>
                          <w:rPr>
                            <w:rFonts w:ascii="Times New Roman" w:eastAsia="Times New Roman"/>
                            <w:sz w:val="24"/>
                            <w:lang w:eastAsia="zh-TW"/>
                          </w:rPr>
                          <w:t>2</w:t>
                        </w:r>
                        <w:r>
                          <w:rPr>
                            <w:sz w:val="24"/>
                            <w:lang w:eastAsia="zh-TW"/>
                          </w:rPr>
                          <w:t>、出席大會的股東所持有表決權的股份總數（股）</w:t>
                        </w:r>
                      </w:p>
                    </w:tc>
                    <w:sdt>
                      <w:sdtPr>
                        <w:rPr>
                          <w:rFonts w:ascii="宋体"/>
                          <w:sz w:val="24"/>
                        </w:rPr>
                        <w:alias w:val="出席会议的股东所持有表决权的股份总数"/>
                        <w:tag w:val="_GBC_a3ceaea716e74390b6d07708f7d10d25"/>
                        <w:id w:val="87978644"/>
                      </w:sdtPr>
                      <w:sdtContent>
                        <w:tc>
                          <w:tcPr>
                            <w:tcW w:w="2268" w:type="dxa"/>
                            <w:vAlign w:val="center"/>
                          </w:tcPr>
                          <w:p w:rsidR="00990FC8" w:rsidRDefault="00990FC8" w:rsidP="00990FC8">
                            <w:pPr>
                              <w:spacing w:line="460" w:lineRule="exact"/>
                              <w:jc w:val="right"/>
                              <w:rPr>
                                <w:rFonts w:ascii="宋体"/>
                                <w:sz w:val="24"/>
                              </w:rPr>
                            </w:pPr>
                            <w:r>
                              <w:rPr>
                                <w:rFonts w:ascii="宋体"/>
                                <w:sz w:val="24"/>
                              </w:rPr>
                              <w:t>30,093,956</w:t>
                            </w:r>
                          </w:p>
                        </w:tc>
                      </w:sdtContent>
                    </w:sdt>
                    <w:tc>
                      <w:tcPr>
                        <w:tcW w:w="2268" w:type="dxa"/>
                      </w:tcPr>
                      <w:p w:rsidR="00990FC8" w:rsidRDefault="00990FC8">
                        <w:pPr>
                          <w:pStyle w:val="TableParagraph"/>
                          <w:spacing w:before="55"/>
                          <w:ind w:left="512" w:right="506"/>
                          <w:jc w:val="center"/>
                          <w:rPr>
                            <w:rFonts w:ascii="SimSun"/>
                            <w:sz w:val="24"/>
                            <w:lang w:eastAsia="zh-TW"/>
                          </w:rPr>
                        </w:pPr>
                      </w:p>
                    </w:tc>
                  </w:tr>
                  <w:tr w:rsidR="00990FC8" w:rsidTr="00990FC8">
                    <w:trPr>
                      <w:trHeight w:val="496"/>
                    </w:trPr>
                    <w:tc>
                      <w:tcPr>
                        <w:tcW w:w="6941" w:type="dxa"/>
                      </w:tcPr>
                      <w:p w:rsidR="00990FC8" w:rsidRDefault="00990FC8">
                        <w:pPr>
                          <w:pStyle w:val="TableParagraph"/>
                          <w:spacing w:line="324" w:lineRule="exact"/>
                          <w:ind w:left="107"/>
                          <w:rPr>
                            <w:sz w:val="24"/>
                            <w:lang w:eastAsia="zh-TW"/>
                          </w:rPr>
                        </w:pPr>
                        <w:r>
                          <w:rPr>
                            <w:sz w:val="24"/>
                            <w:lang w:eastAsia="zh-TW"/>
                          </w:rPr>
                          <w:t>其中：</w:t>
                        </w:r>
                        <w:r>
                          <w:rPr>
                            <w:rFonts w:ascii="Times New Roman" w:eastAsia="Times New Roman"/>
                            <w:sz w:val="24"/>
                            <w:lang w:eastAsia="zh-TW"/>
                          </w:rPr>
                          <w:t xml:space="preserve">A </w:t>
                        </w:r>
                        <w:r>
                          <w:rPr>
                            <w:sz w:val="24"/>
                            <w:lang w:eastAsia="zh-TW"/>
                          </w:rPr>
                          <w:t>股股東持有股份總數</w:t>
                        </w:r>
                      </w:p>
                    </w:tc>
                    <w:sdt>
                      <w:sdtPr>
                        <w:rPr>
                          <w:rFonts w:ascii="宋体"/>
                          <w:sz w:val="24"/>
                        </w:rPr>
                        <w:alias w:val="出席会议的A股股东持有股份总数"/>
                        <w:tag w:val="_GBC_08b3275b036b4c7582af2883d6c051d7"/>
                        <w:id w:val="87978646"/>
                      </w:sdtPr>
                      <w:sdtContent>
                        <w:tc>
                          <w:tcPr>
                            <w:tcW w:w="2268" w:type="dxa"/>
                            <w:vAlign w:val="center"/>
                          </w:tcPr>
                          <w:p w:rsidR="00990FC8" w:rsidRDefault="00990FC8" w:rsidP="00990FC8">
                            <w:pPr>
                              <w:spacing w:line="460" w:lineRule="exact"/>
                              <w:jc w:val="right"/>
                              <w:rPr>
                                <w:rFonts w:ascii="宋体"/>
                                <w:sz w:val="24"/>
                              </w:rPr>
                            </w:pPr>
                            <w:r>
                              <w:rPr>
                                <w:rFonts w:ascii="宋体"/>
                                <w:sz w:val="24"/>
                              </w:rPr>
                              <w:t>20,003,482</w:t>
                            </w:r>
                          </w:p>
                        </w:tc>
                      </w:sdtContent>
                    </w:sdt>
                    <w:tc>
                      <w:tcPr>
                        <w:tcW w:w="2268" w:type="dxa"/>
                      </w:tcPr>
                      <w:p w:rsidR="00990FC8" w:rsidRDefault="00990FC8">
                        <w:pPr>
                          <w:pStyle w:val="TableParagraph"/>
                          <w:spacing w:before="55"/>
                          <w:ind w:left="512" w:right="506"/>
                          <w:jc w:val="center"/>
                          <w:rPr>
                            <w:rFonts w:ascii="SimSun"/>
                            <w:sz w:val="24"/>
                            <w:lang w:eastAsia="zh-TW"/>
                          </w:rPr>
                        </w:pPr>
                      </w:p>
                    </w:tc>
                  </w:tr>
                  <w:tr w:rsidR="00990FC8" w:rsidTr="00990FC8">
                    <w:trPr>
                      <w:trHeight w:val="496"/>
                    </w:trPr>
                    <w:tc>
                      <w:tcPr>
                        <w:tcW w:w="6941" w:type="dxa"/>
                      </w:tcPr>
                      <w:p w:rsidR="00990FC8" w:rsidRDefault="00990FC8">
                        <w:pPr>
                          <w:pStyle w:val="TableParagraph"/>
                          <w:spacing w:line="324" w:lineRule="exact"/>
                          <w:ind w:left="1245" w:right="1092"/>
                          <w:jc w:val="center"/>
                          <w:rPr>
                            <w:sz w:val="24"/>
                            <w:lang w:eastAsia="zh-TW"/>
                          </w:rPr>
                        </w:pPr>
                        <w:r>
                          <w:rPr>
                            <w:sz w:val="24"/>
                            <w:lang w:eastAsia="zh-TW"/>
                          </w:rPr>
                          <w:t>境外上市外資股股東持有股份總數（</w:t>
                        </w:r>
                        <w:r>
                          <w:rPr>
                            <w:rFonts w:ascii="Times New Roman" w:eastAsia="Times New Roman"/>
                            <w:sz w:val="24"/>
                            <w:lang w:eastAsia="zh-TW"/>
                          </w:rPr>
                          <w:t xml:space="preserve">H </w:t>
                        </w:r>
                        <w:r>
                          <w:rPr>
                            <w:sz w:val="24"/>
                            <w:lang w:eastAsia="zh-TW"/>
                          </w:rPr>
                          <w:t>股）</w:t>
                        </w:r>
                      </w:p>
                    </w:tc>
                    <w:sdt>
                      <w:sdtPr>
                        <w:rPr>
                          <w:rFonts w:ascii="宋体"/>
                          <w:sz w:val="24"/>
                        </w:rPr>
                        <w:alias w:val="出席会议的H股股东持有股份总数"/>
                        <w:tag w:val="_GBC_df363156d627454ca15798d7e900b834"/>
                        <w:id w:val="87978648"/>
                      </w:sdtPr>
                      <w:sdtContent>
                        <w:tc>
                          <w:tcPr>
                            <w:tcW w:w="2268" w:type="dxa"/>
                            <w:vAlign w:val="center"/>
                          </w:tcPr>
                          <w:p w:rsidR="00990FC8" w:rsidRDefault="00990FC8" w:rsidP="00990FC8">
                            <w:pPr>
                              <w:spacing w:line="460" w:lineRule="exact"/>
                              <w:jc w:val="right"/>
                              <w:rPr>
                                <w:rFonts w:ascii="宋体"/>
                                <w:sz w:val="24"/>
                              </w:rPr>
                            </w:pPr>
                            <w:r>
                              <w:rPr>
                                <w:rFonts w:ascii="宋体"/>
                                <w:sz w:val="24"/>
                              </w:rPr>
                              <w:t>10,090,474</w:t>
                            </w:r>
                          </w:p>
                        </w:tc>
                      </w:sdtContent>
                    </w:sdt>
                    <w:tc>
                      <w:tcPr>
                        <w:tcW w:w="2268" w:type="dxa"/>
                      </w:tcPr>
                      <w:p w:rsidR="00990FC8" w:rsidRDefault="00990FC8">
                        <w:pPr>
                          <w:pStyle w:val="TableParagraph"/>
                          <w:spacing w:before="57"/>
                          <w:ind w:left="512" w:right="506"/>
                          <w:jc w:val="center"/>
                          <w:rPr>
                            <w:rFonts w:ascii="SimSun"/>
                            <w:sz w:val="24"/>
                            <w:lang w:eastAsia="zh-TW"/>
                          </w:rPr>
                        </w:pPr>
                      </w:p>
                    </w:tc>
                  </w:tr>
                  <w:tr w:rsidR="00990FC8" w:rsidTr="00990FC8">
                    <w:trPr>
                      <w:trHeight w:val="834"/>
                    </w:trPr>
                    <w:tc>
                      <w:tcPr>
                        <w:tcW w:w="6941" w:type="dxa"/>
                      </w:tcPr>
                      <w:p w:rsidR="00990FC8" w:rsidRDefault="00990FC8">
                        <w:pPr>
                          <w:pStyle w:val="TableParagraph"/>
                          <w:spacing w:line="242" w:lineRule="auto"/>
                          <w:ind w:left="419" w:right="192" w:hanging="284"/>
                          <w:rPr>
                            <w:rFonts w:ascii="Times New Roman" w:eastAsia="Times New Roman"/>
                            <w:sz w:val="24"/>
                            <w:lang w:eastAsia="zh-TW"/>
                          </w:rPr>
                        </w:pPr>
                        <w:r>
                          <w:rPr>
                            <w:rFonts w:ascii="Times New Roman" w:eastAsia="Times New Roman"/>
                            <w:sz w:val="24"/>
                            <w:lang w:eastAsia="zh-TW"/>
                          </w:rPr>
                          <w:t>3</w:t>
                        </w:r>
                        <w:r>
                          <w:rPr>
                            <w:sz w:val="24"/>
                            <w:lang w:eastAsia="zh-TW"/>
                          </w:rPr>
                          <w:t>、出席大會的股東所持有表決權股份數佔公司有表決權股份總數的比例</w:t>
                        </w:r>
                        <w:r>
                          <w:rPr>
                            <w:rFonts w:ascii="Times New Roman" w:eastAsia="Times New Roman"/>
                            <w:sz w:val="24"/>
                            <w:lang w:eastAsia="zh-TW"/>
                          </w:rPr>
                          <w:t>(%)</w:t>
                        </w:r>
                      </w:p>
                    </w:tc>
                    <w:sdt>
                      <w:sdtPr>
                        <w:rPr>
                          <w:rFonts w:ascii="宋体"/>
                          <w:sz w:val="24"/>
                        </w:rPr>
                        <w:alias w:val="出席会议的股东所持有表决权股份数占公司有表决权股份总数的比例"/>
                        <w:tag w:val="_GBC_020a1fcfa605460d9ce8eea920317017"/>
                        <w:id w:val="87978650"/>
                      </w:sdtPr>
                      <w:sdtContent>
                        <w:tc>
                          <w:tcPr>
                            <w:tcW w:w="2268" w:type="dxa"/>
                            <w:vAlign w:val="center"/>
                          </w:tcPr>
                          <w:p w:rsidR="00990FC8" w:rsidRDefault="00990FC8" w:rsidP="00990FC8">
                            <w:pPr>
                              <w:spacing w:line="460" w:lineRule="exact"/>
                              <w:jc w:val="right"/>
                              <w:rPr>
                                <w:rFonts w:ascii="宋体"/>
                                <w:sz w:val="24"/>
                              </w:rPr>
                            </w:pPr>
                            <w:r>
                              <w:rPr>
                                <w:rFonts w:ascii="宋体"/>
                                <w:sz w:val="24"/>
                              </w:rPr>
                              <w:t>2.13</w:t>
                            </w:r>
                          </w:p>
                        </w:tc>
                      </w:sdtContent>
                    </w:sdt>
                    <w:tc>
                      <w:tcPr>
                        <w:tcW w:w="2268" w:type="dxa"/>
                      </w:tcPr>
                      <w:p w:rsidR="00990FC8" w:rsidRDefault="00990FC8">
                        <w:pPr>
                          <w:pStyle w:val="TableParagraph"/>
                          <w:spacing w:before="1"/>
                          <w:rPr>
                            <w:sz w:val="16"/>
                            <w:lang w:eastAsia="zh-TW"/>
                          </w:rPr>
                        </w:pPr>
                      </w:p>
                      <w:p w:rsidR="00990FC8" w:rsidRDefault="00990FC8">
                        <w:pPr>
                          <w:pStyle w:val="TableParagraph"/>
                          <w:ind w:left="512" w:right="506"/>
                          <w:jc w:val="center"/>
                          <w:rPr>
                            <w:rFonts w:ascii="SimSun"/>
                            <w:sz w:val="24"/>
                            <w:lang w:eastAsia="zh-TW"/>
                          </w:rPr>
                        </w:pPr>
                      </w:p>
                    </w:tc>
                  </w:tr>
                  <w:tr w:rsidR="00990FC8" w:rsidTr="00990FC8">
                    <w:trPr>
                      <w:trHeight w:val="496"/>
                    </w:trPr>
                    <w:tc>
                      <w:tcPr>
                        <w:tcW w:w="6941" w:type="dxa"/>
                      </w:tcPr>
                      <w:p w:rsidR="00990FC8" w:rsidRDefault="00990FC8">
                        <w:pPr>
                          <w:pStyle w:val="TableParagraph"/>
                          <w:spacing w:line="324" w:lineRule="exact"/>
                          <w:ind w:left="206"/>
                          <w:rPr>
                            <w:rFonts w:ascii="Times New Roman" w:eastAsia="Times New Roman"/>
                            <w:sz w:val="24"/>
                            <w:lang w:eastAsia="zh-TW"/>
                          </w:rPr>
                        </w:pPr>
                        <w:r>
                          <w:rPr>
                            <w:sz w:val="24"/>
                            <w:lang w:eastAsia="zh-TW"/>
                          </w:rPr>
                          <w:t>中：</w:t>
                        </w:r>
                        <w:r>
                          <w:rPr>
                            <w:rFonts w:ascii="Times New Roman" w:eastAsia="Times New Roman"/>
                            <w:sz w:val="24"/>
                            <w:lang w:eastAsia="zh-TW"/>
                          </w:rPr>
                          <w:t xml:space="preserve">A </w:t>
                        </w:r>
                        <w:r>
                          <w:rPr>
                            <w:sz w:val="24"/>
                            <w:lang w:eastAsia="zh-TW"/>
                          </w:rPr>
                          <w:t>股股東持股佔股份總數的比例</w:t>
                        </w:r>
                        <w:r>
                          <w:rPr>
                            <w:rFonts w:ascii="Times New Roman" w:eastAsia="Times New Roman"/>
                            <w:sz w:val="24"/>
                            <w:lang w:eastAsia="zh-TW"/>
                          </w:rPr>
                          <w:t>(%)</w:t>
                        </w:r>
                      </w:p>
                    </w:tc>
                    <w:sdt>
                      <w:sdtPr>
                        <w:rPr>
                          <w:rFonts w:ascii="宋体"/>
                          <w:sz w:val="24"/>
                        </w:rPr>
                        <w:alias w:val="出席会议的A股股东持股占股份总数的比例"/>
                        <w:tag w:val="_GBC_7314865abcb54976a69a0bc1ced05a65"/>
                        <w:id w:val="87978652"/>
                      </w:sdtPr>
                      <w:sdtContent>
                        <w:tc>
                          <w:tcPr>
                            <w:tcW w:w="2268" w:type="dxa"/>
                            <w:vAlign w:val="center"/>
                          </w:tcPr>
                          <w:p w:rsidR="00990FC8" w:rsidRDefault="00990FC8" w:rsidP="00990FC8">
                            <w:pPr>
                              <w:spacing w:line="460" w:lineRule="exact"/>
                              <w:jc w:val="right"/>
                              <w:rPr>
                                <w:rFonts w:ascii="宋体"/>
                                <w:sz w:val="24"/>
                              </w:rPr>
                            </w:pPr>
                            <w:r>
                              <w:rPr>
                                <w:rFonts w:ascii="宋体"/>
                                <w:sz w:val="24"/>
                              </w:rPr>
                              <w:t>1.42</w:t>
                            </w:r>
                          </w:p>
                        </w:tc>
                      </w:sdtContent>
                    </w:sdt>
                    <w:tc>
                      <w:tcPr>
                        <w:tcW w:w="2268" w:type="dxa"/>
                      </w:tcPr>
                      <w:p w:rsidR="00990FC8" w:rsidRDefault="00990FC8">
                        <w:pPr>
                          <w:pStyle w:val="TableParagraph"/>
                          <w:spacing w:before="55"/>
                          <w:ind w:left="512" w:right="506"/>
                          <w:jc w:val="center"/>
                          <w:rPr>
                            <w:rFonts w:ascii="SimSun"/>
                            <w:sz w:val="24"/>
                            <w:lang w:eastAsia="zh-TW"/>
                          </w:rPr>
                        </w:pPr>
                      </w:p>
                    </w:tc>
                  </w:tr>
                  <w:tr w:rsidR="00990FC8" w:rsidTr="00990FC8">
                    <w:trPr>
                      <w:trHeight w:val="736"/>
                    </w:trPr>
                    <w:tc>
                      <w:tcPr>
                        <w:tcW w:w="6941" w:type="dxa"/>
                      </w:tcPr>
                      <w:p w:rsidR="00990FC8" w:rsidRDefault="00990FC8">
                        <w:pPr>
                          <w:pStyle w:val="TableParagraph"/>
                          <w:spacing w:line="321" w:lineRule="exact"/>
                          <w:ind w:left="1127"/>
                          <w:rPr>
                            <w:sz w:val="24"/>
                            <w:lang w:eastAsia="zh-TW"/>
                          </w:rPr>
                        </w:pPr>
                        <w:r>
                          <w:rPr>
                            <w:sz w:val="24"/>
                            <w:lang w:eastAsia="zh-TW"/>
                          </w:rPr>
                          <w:t>境外上市外資股（</w:t>
                        </w:r>
                        <w:r>
                          <w:rPr>
                            <w:rFonts w:ascii="Times New Roman" w:eastAsia="Times New Roman"/>
                            <w:sz w:val="24"/>
                            <w:lang w:eastAsia="zh-TW"/>
                          </w:rPr>
                          <w:t xml:space="preserve">H </w:t>
                        </w:r>
                        <w:r>
                          <w:rPr>
                            <w:sz w:val="24"/>
                            <w:lang w:eastAsia="zh-TW"/>
                          </w:rPr>
                          <w:t>股）股東持股佔股份總數的比例</w:t>
                        </w:r>
                      </w:p>
                      <w:p w:rsidR="00990FC8" w:rsidRDefault="00990FC8">
                        <w:pPr>
                          <w:pStyle w:val="TableParagraph"/>
                          <w:spacing w:before="62"/>
                          <w:ind w:left="1127"/>
                          <w:rPr>
                            <w:rFonts w:ascii="Times New Roman"/>
                            <w:sz w:val="24"/>
                          </w:rPr>
                        </w:pPr>
                        <w:r>
                          <w:rPr>
                            <w:rFonts w:ascii="Times New Roman"/>
                            <w:sz w:val="24"/>
                          </w:rPr>
                          <w:t>(%)</w:t>
                        </w:r>
                      </w:p>
                    </w:tc>
                    <w:sdt>
                      <w:sdtPr>
                        <w:rPr>
                          <w:rStyle w:val="a7"/>
                          <w:rFonts w:asciiTheme="minorEastAsia" w:hAnsiTheme="minorEastAsia"/>
                          <w:sz w:val="24"/>
                          <w:szCs w:val="24"/>
                        </w:rPr>
                        <w:alias w:val="出席会议的H股股东持股占股份总数的比例"/>
                        <w:tag w:val="_GBC_1b41c67d131f4455a34638edc8402b54"/>
                        <w:id w:val="87978654"/>
                      </w:sdtPr>
                      <w:sdtContent>
                        <w:tc>
                          <w:tcPr>
                            <w:tcW w:w="2268" w:type="dxa"/>
                            <w:vAlign w:val="center"/>
                          </w:tcPr>
                          <w:p w:rsidR="00990FC8" w:rsidRDefault="00990FC8" w:rsidP="00990FC8">
                            <w:pPr>
                              <w:spacing w:line="460" w:lineRule="exact"/>
                              <w:jc w:val="right"/>
                              <w:rPr>
                                <w:rStyle w:val="a7"/>
                                <w:rFonts w:asciiTheme="minorEastAsia" w:hAnsiTheme="minorEastAsia"/>
                                <w:sz w:val="24"/>
                                <w:szCs w:val="24"/>
                              </w:rPr>
                            </w:pPr>
                            <w:r>
                              <w:rPr>
                                <w:rStyle w:val="a7"/>
                                <w:rFonts w:asciiTheme="minorEastAsia" w:hAnsiTheme="minorEastAsia"/>
                                <w:sz w:val="24"/>
                                <w:szCs w:val="24"/>
                              </w:rPr>
                              <w:t>0.71</w:t>
                            </w:r>
                          </w:p>
                        </w:tc>
                      </w:sdtContent>
                    </w:sdt>
                    <w:tc>
                      <w:tcPr>
                        <w:tcW w:w="2268" w:type="dxa"/>
                      </w:tcPr>
                      <w:p w:rsidR="00990FC8" w:rsidRDefault="00990FC8">
                        <w:pPr>
                          <w:pStyle w:val="TableParagraph"/>
                          <w:spacing w:before="175"/>
                          <w:ind w:left="512" w:right="506"/>
                          <w:jc w:val="center"/>
                          <w:rPr>
                            <w:rFonts w:ascii="SimSun"/>
                            <w:sz w:val="24"/>
                          </w:rPr>
                        </w:pPr>
                      </w:p>
                    </w:tc>
                  </w:tr>
                </w:tbl>
                <w:p w:rsidR="00D71DEE" w:rsidRDefault="00D71DEE">
                  <w:pPr>
                    <w:pStyle w:val="a3"/>
                  </w:pPr>
                </w:p>
              </w:txbxContent>
            </v:textbox>
            <w10:wrap anchorx="page"/>
          </v:shape>
        </w:pict>
      </w:r>
      <w:r w:rsidR="00E24090">
        <w:rPr>
          <w:lang w:eastAsia="zh-TW"/>
        </w:rPr>
        <w:t>其</w:t>
      </w:r>
    </w:p>
    <w:p w:rsidR="00D71DEE" w:rsidRDefault="00D71DEE">
      <w:pPr>
        <w:pStyle w:val="a3"/>
        <w:rPr>
          <w:lang w:eastAsia="zh-TW"/>
        </w:rPr>
      </w:pPr>
    </w:p>
    <w:p w:rsidR="00D71DEE" w:rsidRDefault="00D71DEE">
      <w:pPr>
        <w:pStyle w:val="a3"/>
        <w:rPr>
          <w:lang w:eastAsia="zh-TW"/>
        </w:rPr>
      </w:pPr>
    </w:p>
    <w:p w:rsidR="00D71DEE" w:rsidRDefault="00D71DEE">
      <w:pPr>
        <w:pStyle w:val="a3"/>
        <w:rPr>
          <w:lang w:eastAsia="zh-TW"/>
        </w:rPr>
      </w:pPr>
    </w:p>
    <w:p w:rsidR="00D71DEE" w:rsidRDefault="00D71DEE">
      <w:pPr>
        <w:pStyle w:val="a3"/>
        <w:rPr>
          <w:sz w:val="26"/>
          <w:lang w:eastAsia="zh-TW"/>
        </w:rPr>
      </w:pPr>
    </w:p>
    <w:p w:rsidR="00D71DEE" w:rsidRDefault="00E24090" w:rsidP="007B5611">
      <w:pPr>
        <w:pStyle w:val="a3"/>
        <w:spacing w:line="302" w:lineRule="auto"/>
        <w:ind w:left="380" w:right="374"/>
        <w:jc w:val="both"/>
        <w:rPr>
          <w:lang w:eastAsia="zh-TW"/>
        </w:rPr>
      </w:pPr>
      <w:r>
        <w:rPr>
          <w:lang w:eastAsia="zh-TW"/>
        </w:rPr>
        <w:t>本公司於臨時股東大會舉行當日已發行的股份總數為</w:t>
      </w:r>
      <w:r>
        <w:rPr>
          <w:rFonts w:ascii="Times New Roman" w:eastAsia="Times New Roman"/>
          <w:lang w:eastAsia="zh-TW"/>
        </w:rPr>
        <w:t>1,413,506,378</w:t>
      </w:r>
      <w:r>
        <w:rPr>
          <w:lang w:eastAsia="zh-TW"/>
        </w:rPr>
        <w:t>股，此乃有權出席並可於臨時股東大會上對議案投贊成票、反對票或棄權票的股份總數。於臨時股東大會當日，中國船舶工業集團有限公司（「</w:t>
      </w:r>
      <w:r>
        <w:rPr>
          <w:b/>
          <w:lang w:eastAsia="zh-TW"/>
        </w:rPr>
        <w:t>中船集團</w:t>
      </w:r>
      <w:r>
        <w:rPr>
          <w:lang w:eastAsia="zh-TW"/>
        </w:rPr>
        <w:t>」）及其聯繫人持有</w:t>
      </w:r>
      <w:r>
        <w:rPr>
          <w:rFonts w:ascii="Times New Roman" w:eastAsia="Times New Roman"/>
          <w:lang w:eastAsia="zh-TW"/>
        </w:rPr>
        <w:t>847,685,990</w:t>
      </w:r>
      <w:r>
        <w:rPr>
          <w:lang w:eastAsia="zh-TW"/>
        </w:rPr>
        <w:t>股</w:t>
      </w:r>
      <w:r>
        <w:rPr>
          <w:spacing w:val="4"/>
          <w:lang w:eastAsia="zh-TW"/>
        </w:rPr>
        <w:t>（包括</w:t>
      </w:r>
      <w:r>
        <w:rPr>
          <w:rFonts w:ascii="Times New Roman" w:eastAsia="Times New Roman"/>
          <w:lang w:eastAsia="zh-TW"/>
        </w:rPr>
        <w:t>501,745,100</w:t>
      </w:r>
      <w:r>
        <w:rPr>
          <w:spacing w:val="4"/>
          <w:lang w:eastAsia="zh-TW"/>
        </w:rPr>
        <w:t>股Ａ股及</w:t>
      </w:r>
      <w:r>
        <w:rPr>
          <w:rFonts w:ascii="Times New Roman" w:eastAsia="Times New Roman"/>
          <w:lang w:eastAsia="zh-TW"/>
        </w:rPr>
        <w:t>345,940,890</w:t>
      </w:r>
      <w:r>
        <w:rPr>
          <w:spacing w:val="4"/>
          <w:lang w:eastAsia="zh-TW"/>
        </w:rPr>
        <w:t>股Ｈ股），佔公司已發行股份的約</w:t>
      </w:r>
      <w:r>
        <w:rPr>
          <w:rFonts w:ascii="Times New Roman" w:eastAsia="Times New Roman"/>
          <w:lang w:eastAsia="zh-TW"/>
        </w:rPr>
        <w:t>59.97%</w:t>
      </w:r>
      <w:r>
        <w:rPr>
          <w:lang w:eastAsia="zh-TW"/>
        </w:rPr>
        <w:t>，為 公司的控股股東。中船集團及其聯繫人須要並已經於臨時股東大會上放棄就</w:t>
      </w:r>
      <w:r w:rsidR="007B5611">
        <w:rPr>
          <w:lang w:eastAsia="zh-TW"/>
        </w:rPr>
        <w:t>臨時股東大會</w:t>
      </w:r>
      <w:r w:rsidR="007B5611">
        <w:rPr>
          <w:rFonts w:hint="eastAsia"/>
          <w:lang w:eastAsia="zh-TW"/>
        </w:rPr>
        <w:t>通告所載</w:t>
      </w:r>
      <w:r>
        <w:rPr>
          <w:lang w:eastAsia="zh-TW"/>
        </w:rPr>
        <w:t>普通決議</w:t>
      </w:r>
      <w:bookmarkStart w:id="0" w:name="_GoBack"/>
      <w:bookmarkEnd w:id="0"/>
      <w:r>
        <w:rPr>
          <w:spacing w:val="4"/>
          <w:lang w:eastAsia="zh-TW"/>
        </w:rPr>
        <w:t>案</w:t>
      </w:r>
      <w:r>
        <w:rPr>
          <w:spacing w:val="5"/>
          <w:lang w:eastAsia="zh-TW"/>
        </w:rPr>
        <w:t>（</w:t>
      </w:r>
      <w:r>
        <w:rPr>
          <w:spacing w:val="4"/>
          <w:lang w:eastAsia="zh-TW"/>
        </w:rPr>
        <w:t>關於</w:t>
      </w:r>
      <w:r w:rsidR="007B5611" w:rsidRPr="007B5611">
        <w:rPr>
          <w:rFonts w:hint="eastAsia"/>
          <w:spacing w:val="4"/>
          <w:lang w:eastAsia="zh-TW"/>
        </w:rPr>
        <w:t>轉讓中船澄西揚州船舶有限公司</w:t>
      </w:r>
      <w:r w:rsidR="007B5611" w:rsidRPr="007B5611">
        <w:rPr>
          <w:spacing w:val="4"/>
          <w:lang w:eastAsia="zh-TW"/>
        </w:rPr>
        <w:t>49%</w:t>
      </w:r>
      <w:r w:rsidR="009A58A3" w:rsidRPr="007B5611">
        <w:rPr>
          <w:rFonts w:hint="eastAsia"/>
          <w:spacing w:val="4"/>
          <w:lang w:eastAsia="zh-TW"/>
        </w:rPr>
        <w:t>股權</w:t>
      </w:r>
      <w:r w:rsidR="009A58A3" w:rsidRPr="009A58A3">
        <w:rPr>
          <w:rFonts w:eastAsia="PMingLiU" w:hint="eastAsia"/>
          <w:spacing w:val="4"/>
          <w:lang w:eastAsia="zh-TW"/>
        </w:rPr>
        <w:t>暨</w:t>
      </w:r>
      <w:r w:rsidR="009A58A3" w:rsidRPr="007B5611">
        <w:rPr>
          <w:rFonts w:hint="eastAsia"/>
          <w:spacing w:val="4"/>
          <w:lang w:eastAsia="zh-TW"/>
        </w:rPr>
        <w:t>關連交</w:t>
      </w:r>
      <w:r w:rsidR="007B5611" w:rsidRPr="007B5611">
        <w:rPr>
          <w:spacing w:val="4"/>
          <w:lang w:eastAsia="zh-TW"/>
        </w:rPr>
        <w:t>易</w:t>
      </w:r>
      <w:r>
        <w:rPr>
          <w:spacing w:val="3"/>
          <w:lang w:eastAsia="zh-TW"/>
        </w:rPr>
        <w:t>的議案</w:t>
      </w:r>
      <w:r>
        <w:rPr>
          <w:lang w:eastAsia="zh-TW"/>
        </w:rPr>
        <w:t>）投票。除上述所披露外，概無其他股東有權出席大會而須根據香港上市規則於大會上就任何決議案放棄投票。概無股份如香港上市規則第</w:t>
      </w:r>
      <w:r>
        <w:rPr>
          <w:rFonts w:ascii="Times New Roman" w:eastAsia="Times New Roman"/>
          <w:lang w:eastAsia="zh-TW"/>
        </w:rPr>
        <w:t>13.40</w:t>
      </w:r>
      <w:r>
        <w:rPr>
          <w:lang w:eastAsia="zh-TW"/>
        </w:rPr>
        <w:t>條所載，賦予其持有人權利出席臨時股東大會並在會上放棄投贊成票，且概無本公司股東根據香港上市規則須在臨時股東大會上就有關決議案放棄投票。概無任何股東於臨時股東大會上就任何決議案表決受到任何限制。</w:t>
      </w:r>
    </w:p>
    <w:p w:rsidR="00D71DEE" w:rsidRDefault="00E24090">
      <w:pPr>
        <w:pStyle w:val="2"/>
        <w:rPr>
          <w:lang w:eastAsia="zh-TW"/>
        </w:rPr>
      </w:pPr>
      <w:r>
        <w:rPr>
          <w:lang w:eastAsia="zh-TW"/>
        </w:rPr>
        <w:t>臨時股東大會議案審議情況</w:t>
      </w:r>
    </w:p>
    <w:p w:rsidR="00D71DEE" w:rsidRDefault="00D71DEE">
      <w:pPr>
        <w:pStyle w:val="a3"/>
        <w:spacing w:before="7"/>
        <w:rPr>
          <w:b/>
          <w:sz w:val="17"/>
          <w:lang w:eastAsia="zh-TW"/>
        </w:rPr>
      </w:pPr>
    </w:p>
    <w:p w:rsidR="00D71DEE" w:rsidRDefault="00E24090">
      <w:pPr>
        <w:pStyle w:val="a3"/>
        <w:spacing w:line="302" w:lineRule="auto"/>
        <w:ind w:left="380" w:right="374"/>
        <w:rPr>
          <w:lang w:eastAsia="zh-TW"/>
        </w:rPr>
      </w:pPr>
      <w:r>
        <w:rPr>
          <w:lang w:eastAsia="zh-TW"/>
        </w:rPr>
        <w:t>經出席臨時股東大會的股東及其各自股東代理人審議，相關決議案以現場投票及以網絡投票結合的方式進行了表決。臨時股東大會表決結果如下：</w:t>
      </w:r>
    </w:p>
    <w:p w:rsidR="00D71DEE" w:rsidRDefault="00D71DEE">
      <w:pPr>
        <w:spacing w:line="302" w:lineRule="auto"/>
        <w:rPr>
          <w:lang w:eastAsia="zh-TW"/>
        </w:rPr>
        <w:sectPr w:rsidR="00D71DEE">
          <w:pgSz w:w="11910" w:h="16840"/>
          <w:pgMar w:top="1420" w:right="1060" w:bottom="1480" w:left="1060" w:header="0" w:footer="1285" w:gutter="0"/>
          <w:cols w:space="720"/>
        </w:sect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1"/>
        <w:gridCol w:w="1488"/>
        <w:gridCol w:w="1297"/>
        <w:gridCol w:w="1238"/>
        <w:gridCol w:w="991"/>
        <w:gridCol w:w="1063"/>
        <w:gridCol w:w="852"/>
        <w:gridCol w:w="708"/>
        <w:gridCol w:w="708"/>
        <w:gridCol w:w="638"/>
      </w:tblGrid>
      <w:tr w:rsidR="00D71DEE" w:rsidTr="00990FC8">
        <w:trPr>
          <w:trHeight w:val="539"/>
        </w:trPr>
        <w:tc>
          <w:tcPr>
            <w:tcW w:w="641" w:type="dxa"/>
            <w:vMerge w:val="restart"/>
          </w:tcPr>
          <w:p w:rsidR="00D71DEE" w:rsidRDefault="00D71DEE">
            <w:pPr>
              <w:pStyle w:val="TableParagraph"/>
              <w:spacing w:before="8"/>
              <w:rPr>
                <w:lang w:eastAsia="zh-TW"/>
              </w:rPr>
            </w:pPr>
          </w:p>
          <w:p w:rsidR="00D71DEE" w:rsidRDefault="00E24090">
            <w:pPr>
              <w:pStyle w:val="TableParagraph"/>
              <w:spacing w:line="256" w:lineRule="auto"/>
              <w:ind w:left="119" w:right="108"/>
              <w:rPr>
                <w:b/>
                <w:sz w:val="20"/>
              </w:rPr>
            </w:pPr>
            <w:proofErr w:type="spellStart"/>
            <w:r>
              <w:rPr>
                <w:b/>
                <w:sz w:val="20"/>
              </w:rPr>
              <w:t>議案序號</w:t>
            </w:r>
            <w:proofErr w:type="spellEnd"/>
          </w:p>
        </w:tc>
        <w:tc>
          <w:tcPr>
            <w:tcW w:w="1488" w:type="dxa"/>
            <w:vMerge w:val="restart"/>
          </w:tcPr>
          <w:p w:rsidR="00D71DEE" w:rsidRDefault="00D71DEE">
            <w:pPr>
              <w:pStyle w:val="TableParagraph"/>
              <w:rPr>
                <w:sz w:val="20"/>
              </w:rPr>
            </w:pPr>
          </w:p>
          <w:p w:rsidR="00D71DEE" w:rsidRDefault="00E24090">
            <w:pPr>
              <w:pStyle w:val="TableParagraph"/>
              <w:spacing w:before="156"/>
              <w:ind w:left="342"/>
              <w:rPr>
                <w:b/>
                <w:sz w:val="20"/>
              </w:rPr>
            </w:pPr>
            <w:proofErr w:type="spellStart"/>
            <w:r>
              <w:rPr>
                <w:b/>
                <w:sz w:val="20"/>
              </w:rPr>
              <w:t>議案內容</w:t>
            </w:r>
            <w:proofErr w:type="spellEnd"/>
          </w:p>
        </w:tc>
        <w:tc>
          <w:tcPr>
            <w:tcW w:w="1297" w:type="dxa"/>
            <w:vMerge w:val="restart"/>
          </w:tcPr>
          <w:p w:rsidR="00D71DEE" w:rsidRDefault="00D71DEE">
            <w:pPr>
              <w:pStyle w:val="TableParagraph"/>
              <w:rPr>
                <w:sz w:val="20"/>
              </w:rPr>
            </w:pPr>
          </w:p>
          <w:p w:rsidR="00D71DEE" w:rsidRDefault="00E24090">
            <w:pPr>
              <w:pStyle w:val="TableParagraph"/>
              <w:spacing w:before="156"/>
              <w:ind w:left="232"/>
              <w:rPr>
                <w:b/>
                <w:sz w:val="20"/>
              </w:rPr>
            </w:pPr>
            <w:proofErr w:type="spellStart"/>
            <w:r>
              <w:rPr>
                <w:b/>
                <w:sz w:val="20"/>
              </w:rPr>
              <w:t>表決類型</w:t>
            </w:r>
            <w:proofErr w:type="spellEnd"/>
          </w:p>
        </w:tc>
        <w:tc>
          <w:tcPr>
            <w:tcW w:w="2229" w:type="dxa"/>
            <w:gridSpan w:val="2"/>
          </w:tcPr>
          <w:p w:rsidR="00D71DEE" w:rsidRDefault="00E24090">
            <w:pPr>
              <w:pStyle w:val="TableParagraph"/>
              <w:spacing w:before="131"/>
              <w:ind w:left="867" w:right="855"/>
              <w:jc w:val="center"/>
              <w:rPr>
                <w:b/>
                <w:sz w:val="20"/>
              </w:rPr>
            </w:pPr>
            <w:proofErr w:type="spellStart"/>
            <w:r>
              <w:rPr>
                <w:b/>
                <w:sz w:val="20"/>
              </w:rPr>
              <w:t>贊成</w:t>
            </w:r>
            <w:proofErr w:type="spellEnd"/>
          </w:p>
        </w:tc>
        <w:tc>
          <w:tcPr>
            <w:tcW w:w="1915" w:type="dxa"/>
            <w:gridSpan w:val="2"/>
          </w:tcPr>
          <w:p w:rsidR="00D71DEE" w:rsidRDefault="00E24090">
            <w:pPr>
              <w:pStyle w:val="TableParagraph"/>
              <w:spacing w:before="131"/>
              <w:ind w:left="735" w:right="729"/>
              <w:jc w:val="center"/>
              <w:rPr>
                <w:b/>
                <w:sz w:val="20"/>
              </w:rPr>
            </w:pPr>
            <w:proofErr w:type="spellStart"/>
            <w:r>
              <w:rPr>
                <w:b/>
                <w:sz w:val="20"/>
              </w:rPr>
              <w:t>反對</w:t>
            </w:r>
            <w:proofErr w:type="spellEnd"/>
          </w:p>
        </w:tc>
        <w:tc>
          <w:tcPr>
            <w:tcW w:w="1416" w:type="dxa"/>
            <w:gridSpan w:val="2"/>
          </w:tcPr>
          <w:p w:rsidR="00D71DEE" w:rsidRDefault="00E24090">
            <w:pPr>
              <w:pStyle w:val="TableParagraph"/>
              <w:spacing w:before="131"/>
              <w:ind w:left="484" w:right="481"/>
              <w:jc w:val="center"/>
              <w:rPr>
                <w:b/>
                <w:sz w:val="20"/>
              </w:rPr>
            </w:pPr>
            <w:proofErr w:type="spellStart"/>
            <w:r>
              <w:rPr>
                <w:b/>
                <w:sz w:val="20"/>
              </w:rPr>
              <w:t>棄權</w:t>
            </w:r>
            <w:proofErr w:type="spellEnd"/>
          </w:p>
        </w:tc>
        <w:tc>
          <w:tcPr>
            <w:tcW w:w="638" w:type="dxa"/>
            <w:vMerge w:val="restart"/>
          </w:tcPr>
          <w:p w:rsidR="00D71DEE" w:rsidRDefault="00D71DEE">
            <w:pPr>
              <w:pStyle w:val="TableParagraph"/>
              <w:rPr>
                <w:sz w:val="21"/>
              </w:rPr>
            </w:pPr>
          </w:p>
          <w:p w:rsidR="00D71DEE" w:rsidRDefault="00E24090">
            <w:pPr>
              <w:pStyle w:val="TableParagraph"/>
              <w:spacing w:before="1" w:line="170" w:lineRule="auto"/>
              <w:ind w:left="118" w:right="106"/>
              <w:rPr>
                <w:b/>
                <w:sz w:val="20"/>
              </w:rPr>
            </w:pPr>
            <w:proofErr w:type="spellStart"/>
            <w:r>
              <w:rPr>
                <w:b/>
                <w:sz w:val="20"/>
              </w:rPr>
              <w:t>是否通過</w:t>
            </w:r>
            <w:proofErr w:type="spellEnd"/>
          </w:p>
        </w:tc>
      </w:tr>
      <w:tr w:rsidR="00D71DEE" w:rsidTr="00990FC8">
        <w:trPr>
          <w:trHeight w:val="599"/>
        </w:trPr>
        <w:tc>
          <w:tcPr>
            <w:tcW w:w="641" w:type="dxa"/>
            <w:vMerge/>
            <w:tcBorders>
              <w:top w:val="nil"/>
            </w:tcBorders>
          </w:tcPr>
          <w:p w:rsidR="00D71DEE" w:rsidRDefault="00D71DEE">
            <w:pPr>
              <w:rPr>
                <w:sz w:val="2"/>
                <w:szCs w:val="2"/>
              </w:rPr>
            </w:pPr>
          </w:p>
        </w:tc>
        <w:tc>
          <w:tcPr>
            <w:tcW w:w="1488" w:type="dxa"/>
            <w:vMerge/>
            <w:tcBorders>
              <w:top w:val="nil"/>
            </w:tcBorders>
          </w:tcPr>
          <w:p w:rsidR="00D71DEE" w:rsidRDefault="00D71DEE">
            <w:pPr>
              <w:rPr>
                <w:sz w:val="2"/>
                <w:szCs w:val="2"/>
              </w:rPr>
            </w:pPr>
          </w:p>
        </w:tc>
        <w:tc>
          <w:tcPr>
            <w:tcW w:w="1297" w:type="dxa"/>
            <w:vMerge/>
            <w:tcBorders>
              <w:top w:val="nil"/>
            </w:tcBorders>
          </w:tcPr>
          <w:p w:rsidR="00D71DEE" w:rsidRDefault="00D71DEE">
            <w:pPr>
              <w:rPr>
                <w:sz w:val="2"/>
                <w:szCs w:val="2"/>
              </w:rPr>
            </w:pPr>
          </w:p>
        </w:tc>
        <w:tc>
          <w:tcPr>
            <w:tcW w:w="1238" w:type="dxa"/>
          </w:tcPr>
          <w:p w:rsidR="00D71DEE" w:rsidRDefault="00E24090">
            <w:pPr>
              <w:pStyle w:val="TableParagraph"/>
              <w:spacing w:before="162"/>
              <w:ind w:left="391"/>
              <w:rPr>
                <w:b/>
                <w:sz w:val="20"/>
              </w:rPr>
            </w:pPr>
            <w:proofErr w:type="spellStart"/>
            <w:r>
              <w:rPr>
                <w:b/>
                <w:sz w:val="20"/>
              </w:rPr>
              <w:t>票數</w:t>
            </w:r>
            <w:proofErr w:type="spellEnd"/>
          </w:p>
        </w:tc>
        <w:tc>
          <w:tcPr>
            <w:tcW w:w="991" w:type="dxa"/>
          </w:tcPr>
          <w:p w:rsidR="00D71DEE" w:rsidRDefault="00E24090">
            <w:pPr>
              <w:pStyle w:val="TableParagraph"/>
              <w:spacing w:before="61" w:line="246" w:lineRule="exact"/>
              <w:ind w:left="174" w:right="166"/>
              <w:jc w:val="center"/>
              <w:rPr>
                <w:b/>
                <w:sz w:val="20"/>
              </w:rPr>
            </w:pPr>
            <w:proofErr w:type="spellStart"/>
            <w:r>
              <w:rPr>
                <w:b/>
                <w:sz w:val="20"/>
              </w:rPr>
              <w:t>贊成率</w:t>
            </w:r>
            <w:proofErr w:type="spellEnd"/>
          </w:p>
          <w:p w:rsidR="00D71DEE" w:rsidRDefault="00E24090">
            <w:pPr>
              <w:pStyle w:val="TableParagraph"/>
              <w:spacing w:line="196" w:lineRule="exact"/>
              <w:ind w:left="174" w:right="165"/>
              <w:jc w:val="center"/>
              <w:rPr>
                <w:rFonts w:ascii="Times New Roman"/>
                <w:b/>
                <w:sz w:val="20"/>
              </w:rPr>
            </w:pPr>
            <w:r>
              <w:rPr>
                <w:rFonts w:ascii="Times New Roman"/>
                <w:b/>
                <w:sz w:val="20"/>
              </w:rPr>
              <w:t>(</w:t>
            </w:r>
            <w:r>
              <w:rPr>
                <w:rFonts w:ascii="Times New Roman"/>
                <w:sz w:val="20"/>
              </w:rPr>
              <w:t>%</w:t>
            </w:r>
            <w:r>
              <w:rPr>
                <w:rFonts w:ascii="Times New Roman"/>
                <w:b/>
                <w:sz w:val="20"/>
              </w:rPr>
              <w:t>)</w:t>
            </w:r>
          </w:p>
        </w:tc>
        <w:tc>
          <w:tcPr>
            <w:tcW w:w="1063" w:type="dxa"/>
          </w:tcPr>
          <w:p w:rsidR="00D71DEE" w:rsidRDefault="00E24090">
            <w:pPr>
              <w:pStyle w:val="TableParagraph"/>
              <w:spacing w:before="162"/>
              <w:ind w:left="331"/>
              <w:rPr>
                <w:b/>
                <w:sz w:val="20"/>
              </w:rPr>
            </w:pPr>
            <w:proofErr w:type="spellStart"/>
            <w:r>
              <w:rPr>
                <w:b/>
                <w:sz w:val="20"/>
              </w:rPr>
              <w:t>票數</w:t>
            </w:r>
            <w:proofErr w:type="spellEnd"/>
          </w:p>
        </w:tc>
        <w:tc>
          <w:tcPr>
            <w:tcW w:w="852" w:type="dxa"/>
          </w:tcPr>
          <w:p w:rsidR="00D71DEE" w:rsidRDefault="00E24090">
            <w:pPr>
              <w:pStyle w:val="TableParagraph"/>
              <w:spacing w:before="61" w:line="246" w:lineRule="exact"/>
              <w:ind w:left="85" w:right="77"/>
              <w:jc w:val="center"/>
              <w:rPr>
                <w:b/>
                <w:sz w:val="20"/>
              </w:rPr>
            </w:pPr>
            <w:proofErr w:type="spellStart"/>
            <w:r>
              <w:rPr>
                <w:b/>
                <w:sz w:val="20"/>
              </w:rPr>
              <w:t>反對率</w:t>
            </w:r>
            <w:proofErr w:type="spellEnd"/>
          </w:p>
          <w:p w:rsidR="00D71DEE" w:rsidRDefault="00E24090">
            <w:pPr>
              <w:pStyle w:val="TableParagraph"/>
              <w:spacing w:line="196" w:lineRule="exact"/>
              <w:ind w:left="87" w:right="77"/>
              <w:jc w:val="center"/>
              <w:rPr>
                <w:rFonts w:ascii="Times New Roman"/>
                <w:b/>
                <w:sz w:val="20"/>
              </w:rPr>
            </w:pPr>
            <w:r>
              <w:rPr>
                <w:rFonts w:ascii="Times New Roman"/>
                <w:b/>
                <w:sz w:val="20"/>
              </w:rPr>
              <w:t>(</w:t>
            </w:r>
            <w:r>
              <w:rPr>
                <w:rFonts w:ascii="Times New Roman"/>
                <w:sz w:val="20"/>
              </w:rPr>
              <w:t>%</w:t>
            </w:r>
            <w:r>
              <w:rPr>
                <w:rFonts w:ascii="Times New Roman"/>
                <w:b/>
                <w:sz w:val="20"/>
              </w:rPr>
              <w:t>)</w:t>
            </w:r>
          </w:p>
        </w:tc>
        <w:tc>
          <w:tcPr>
            <w:tcW w:w="708" w:type="dxa"/>
          </w:tcPr>
          <w:p w:rsidR="00D71DEE" w:rsidRDefault="00E24090">
            <w:pPr>
              <w:pStyle w:val="TableParagraph"/>
              <w:spacing w:before="162"/>
              <w:ind w:right="145"/>
              <w:jc w:val="right"/>
              <w:rPr>
                <w:b/>
                <w:sz w:val="20"/>
              </w:rPr>
            </w:pPr>
            <w:proofErr w:type="spellStart"/>
            <w:r>
              <w:rPr>
                <w:b/>
                <w:w w:val="95"/>
                <w:sz w:val="20"/>
              </w:rPr>
              <w:t>票數</w:t>
            </w:r>
            <w:proofErr w:type="spellEnd"/>
          </w:p>
        </w:tc>
        <w:tc>
          <w:tcPr>
            <w:tcW w:w="708" w:type="dxa"/>
          </w:tcPr>
          <w:p w:rsidR="00D71DEE" w:rsidRDefault="00E24090">
            <w:pPr>
              <w:pStyle w:val="TableParagraph"/>
              <w:spacing w:before="16" w:line="172" w:lineRule="auto"/>
              <w:ind w:left="252" w:right="143" w:hanging="101"/>
              <w:rPr>
                <w:b/>
                <w:sz w:val="20"/>
              </w:rPr>
            </w:pPr>
            <w:proofErr w:type="spellStart"/>
            <w:r>
              <w:rPr>
                <w:b/>
                <w:spacing w:val="-9"/>
                <w:sz w:val="20"/>
              </w:rPr>
              <w:t>棄權</w:t>
            </w:r>
            <w:r>
              <w:rPr>
                <w:b/>
                <w:sz w:val="20"/>
              </w:rPr>
              <w:t>率</w:t>
            </w:r>
            <w:proofErr w:type="spellEnd"/>
          </w:p>
          <w:p w:rsidR="00D71DEE" w:rsidRDefault="00E24090">
            <w:pPr>
              <w:pStyle w:val="TableParagraph"/>
              <w:spacing w:line="160" w:lineRule="exact"/>
              <w:ind w:left="202"/>
              <w:rPr>
                <w:rFonts w:ascii="Times New Roman"/>
                <w:b/>
                <w:sz w:val="20"/>
              </w:rPr>
            </w:pPr>
            <w:r>
              <w:rPr>
                <w:rFonts w:ascii="Times New Roman"/>
                <w:b/>
                <w:sz w:val="20"/>
              </w:rPr>
              <w:t>(</w:t>
            </w:r>
            <w:r>
              <w:rPr>
                <w:rFonts w:ascii="Times New Roman"/>
                <w:sz w:val="20"/>
              </w:rPr>
              <w:t>%</w:t>
            </w:r>
            <w:r>
              <w:rPr>
                <w:rFonts w:ascii="Times New Roman"/>
                <w:b/>
                <w:sz w:val="20"/>
              </w:rPr>
              <w:t>)</w:t>
            </w:r>
          </w:p>
        </w:tc>
        <w:tc>
          <w:tcPr>
            <w:tcW w:w="638" w:type="dxa"/>
            <w:vMerge/>
            <w:tcBorders>
              <w:top w:val="nil"/>
            </w:tcBorders>
          </w:tcPr>
          <w:p w:rsidR="00D71DEE" w:rsidRDefault="00D71DEE">
            <w:pPr>
              <w:rPr>
                <w:sz w:val="2"/>
                <w:szCs w:val="2"/>
              </w:rPr>
            </w:pPr>
          </w:p>
        </w:tc>
      </w:tr>
      <w:tr w:rsidR="00D71DEE" w:rsidTr="00990FC8">
        <w:trPr>
          <w:trHeight w:val="398"/>
        </w:trPr>
        <w:tc>
          <w:tcPr>
            <w:tcW w:w="9624" w:type="dxa"/>
            <w:gridSpan w:val="10"/>
          </w:tcPr>
          <w:p w:rsidR="00D71DEE" w:rsidRDefault="00E24090">
            <w:pPr>
              <w:pStyle w:val="TableParagraph"/>
              <w:spacing w:before="61"/>
              <w:ind w:left="4251" w:right="4243"/>
              <w:jc w:val="center"/>
              <w:rPr>
                <w:b/>
                <w:sz w:val="20"/>
              </w:rPr>
            </w:pPr>
            <w:proofErr w:type="spellStart"/>
            <w:r>
              <w:rPr>
                <w:b/>
                <w:sz w:val="20"/>
              </w:rPr>
              <w:t>普通決議案</w:t>
            </w:r>
            <w:proofErr w:type="spellEnd"/>
          </w:p>
        </w:tc>
      </w:tr>
      <w:tr w:rsidR="00990FC8" w:rsidTr="00990FC8">
        <w:trPr>
          <w:trHeight w:val="760"/>
        </w:trPr>
        <w:tc>
          <w:tcPr>
            <w:tcW w:w="641" w:type="dxa"/>
            <w:vMerge w:val="restart"/>
          </w:tcPr>
          <w:p w:rsidR="00990FC8" w:rsidRDefault="00990FC8">
            <w:pPr>
              <w:pStyle w:val="TableParagraph"/>
              <w:rPr>
                <w:sz w:val="18"/>
              </w:rPr>
            </w:pPr>
          </w:p>
          <w:p w:rsidR="00990FC8" w:rsidRDefault="00990FC8">
            <w:pPr>
              <w:pStyle w:val="TableParagraph"/>
              <w:rPr>
                <w:sz w:val="18"/>
              </w:rPr>
            </w:pPr>
          </w:p>
          <w:p w:rsidR="00990FC8" w:rsidRDefault="00990FC8">
            <w:pPr>
              <w:pStyle w:val="TableParagraph"/>
              <w:rPr>
                <w:sz w:val="18"/>
              </w:rPr>
            </w:pPr>
          </w:p>
          <w:p w:rsidR="00990FC8" w:rsidRDefault="00990FC8">
            <w:pPr>
              <w:pStyle w:val="TableParagraph"/>
              <w:spacing w:before="13"/>
              <w:rPr>
                <w:sz w:val="21"/>
              </w:rPr>
            </w:pPr>
          </w:p>
          <w:p w:rsidR="00990FC8" w:rsidRDefault="00990FC8">
            <w:pPr>
              <w:pStyle w:val="TableParagraph"/>
              <w:ind w:left="10"/>
              <w:jc w:val="center"/>
              <w:rPr>
                <w:rFonts w:ascii="Times New Roman"/>
                <w:sz w:val="16"/>
              </w:rPr>
            </w:pPr>
            <w:r>
              <w:rPr>
                <w:rFonts w:ascii="Times New Roman"/>
                <w:sz w:val="16"/>
              </w:rPr>
              <w:t>1</w:t>
            </w:r>
          </w:p>
        </w:tc>
        <w:tc>
          <w:tcPr>
            <w:tcW w:w="1488" w:type="dxa"/>
            <w:vMerge w:val="restart"/>
          </w:tcPr>
          <w:p w:rsidR="00990FC8" w:rsidRDefault="00990FC8">
            <w:pPr>
              <w:pStyle w:val="TableParagraph"/>
              <w:spacing w:before="5"/>
              <w:rPr>
                <w:sz w:val="26"/>
                <w:lang w:eastAsia="zh-TW"/>
              </w:rPr>
            </w:pPr>
          </w:p>
          <w:p w:rsidR="00990FC8" w:rsidRPr="009A58A3" w:rsidRDefault="00990FC8" w:rsidP="009A58A3">
            <w:pPr>
              <w:pStyle w:val="TableParagraph"/>
              <w:spacing w:before="5" w:line="213" w:lineRule="auto"/>
              <w:ind w:left="107" w:right="98"/>
              <w:jc w:val="both"/>
              <w:rPr>
                <w:rFonts w:eastAsiaTheme="minorEastAsia"/>
                <w:sz w:val="16"/>
                <w:lang w:eastAsia="zh-CN"/>
              </w:rPr>
            </w:pPr>
            <w:r w:rsidRPr="007B5611">
              <w:rPr>
                <w:rFonts w:hint="eastAsia"/>
                <w:sz w:val="16"/>
                <w:lang w:eastAsia="zh-TW"/>
              </w:rPr>
              <w:t>有關轉讓中船澄西揚州船舶有限公司</w:t>
            </w:r>
            <w:r w:rsidRPr="007B5611">
              <w:rPr>
                <w:sz w:val="16"/>
                <w:lang w:eastAsia="zh-TW"/>
              </w:rPr>
              <w:t>49%</w:t>
            </w:r>
            <w:r w:rsidRPr="007B5611">
              <w:rPr>
                <w:rFonts w:hint="eastAsia"/>
                <w:sz w:val="16"/>
                <w:lang w:eastAsia="zh-TW"/>
              </w:rPr>
              <w:t>股權</w:t>
            </w:r>
            <w:r w:rsidRPr="009A58A3">
              <w:rPr>
                <w:rFonts w:eastAsia="PMingLiU" w:hint="eastAsia"/>
                <w:sz w:val="16"/>
                <w:lang w:eastAsia="zh-TW"/>
              </w:rPr>
              <w:t>暨</w:t>
            </w:r>
            <w:r w:rsidRPr="007B5611">
              <w:rPr>
                <w:rFonts w:hint="eastAsia"/>
                <w:sz w:val="16"/>
                <w:lang w:eastAsia="zh-TW"/>
              </w:rPr>
              <w:t>關連交易</w:t>
            </w:r>
            <w:r w:rsidRPr="009A58A3">
              <w:rPr>
                <w:rFonts w:eastAsia="PMingLiU" w:hint="eastAsia"/>
                <w:sz w:val="16"/>
                <w:lang w:eastAsia="zh-TW"/>
              </w:rPr>
              <w:t>的議案</w:t>
            </w:r>
          </w:p>
        </w:tc>
        <w:tc>
          <w:tcPr>
            <w:tcW w:w="1297" w:type="dxa"/>
          </w:tcPr>
          <w:p w:rsidR="00990FC8" w:rsidRDefault="00990FC8">
            <w:pPr>
              <w:pStyle w:val="TableParagraph"/>
              <w:spacing w:before="3"/>
              <w:rPr>
                <w:sz w:val="17"/>
                <w:lang w:eastAsia="zh-TW"/>
              </w:rPr>
            </w:pPr>
          </w:p>
          <w:p w:rsidR="00990FC8" w:rsidRDefault="00990FC8">
            <w:pPr>
              <w:pStyle w:val="TableParagraph"/>
              <w:ind w:left="213" w:right="211"/>
              <w:jc w:val="center"/>
              <w:rPr>
                <w:sz w:val="20"/>
              </w:rPr>
            </w:pPr>
            <w:r>
              <w:rPr>
                <w:rFonts w:ascii="Times New Roman" w:eastAsia="Times New Roman"/>
                <w:sz w:val="20"/>
              </w:rPr>
              <w:t xml:space="preserve">A </w:t>
            </w:r>
            <w:proofErr w:type="spellStart"/>
            <w:r>
              <w:rPr>
                <w:sz w:val="20"/>
              </w:rPr>
              <w:t>股股東</w:t>
            </w:r>
            <w:proofErr w:type="spellEnd"/>
          </w:p>
        </w:tc>
        <w:sdt>
          <w:sdtPr>
            <w:rPr>
              <w:rFonts w:ascii="Times New Roman" w:hAnsi="Times New Roman" w:cs="Times New Roman"/>
              <w:sz w:val="21"/>
              <w:szCs w:val="21"/>
            </w:rPr>
            <w:alias w:val="非累积投票议案表决情况_A股同意票数"/>
            <w:tag w:val="_GBC_d13cb7c3b10e4b89bd272020d5dfc3c5"/>
            <w:id w:val="87977981"/>
            <w:text/>
          </w:sdtPr>
          <w:sdtContent>
            <w:tc>
              <w:tcPr>
                <w:tcW w:w="123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20,003,482</w:t>
                </w:r>
              </w:p>
            </w:tc>
          </w:sdtContent>
        </w:sdt>
        <w:sdt>
          <w:sdtPr>
            <w:rPr>
              <w:rFonts w:ascii="Times New Roman" w:hAnsi="Times New Roman" w:cs="Times New Roman"/>
              <w:sz w:val="21"/>
              <w:szCs w:val="21"/>
            </w:rPr>
            <w:alias w:val="非累积投票议案表决情况_A股同意比例"/>
            <w:tag w:val="_GBC_baa01c35de4c4da5999507b346370a05"/>
            <w:id w:val="87977982"/>
          </w:sdtPr>
          <w:sdtContent>
            <w:tc>
              <w:tcPr>
                <w:tcW w:w="991"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100</w:t>
                </w:r>
              </w:p>
            </w:tc>
          </w:sdtContent>
        </w:sdt>
        <w:sdt>
          <w:sdtPr>
            <w:rPr>
              <w:rFonts w:ascii="Times New Roman" w:hAnsi="Times New Roman" w:cs="Times New Roman"/>
              <w:sz w:val="21"/>
              <w:szCs w:val="21"/>
            </w:rPr>
            <w:alias w:val="非累积投票议案表决情况_A股反对票数"/>
            <w:tag w:val="_GBC_aeddc7b9df07427a8287a3319656953b"/>
            <w:id w:val="87977983"/>
          </w:sdtPr>
          <w:sdtContent>
            <w:tc>
              <w:tcPr>
                <w:tcW w:w="1063"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A股反对比例"/>
            <w:tag w:val="_GBC_2fbfff06037f464baa9501f7aaaeeca4"/>
            <w:id w:val="87977984"/>
          </w:sdtPr>
          <w:sdtContent>
            <w:tc>
              <w:tcPr>
                <w:tcW w:w="852"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A股弃权票数"/>
            <w:tag w:val="_GBC_311dad2ae32a4a41b5f70fe48cb445b5"/>
            <w:id w:val="87977985"/>
          </w:sdtPr>
          <w:sdtContent>
            <w:tc>
              <w:tcPr>
                <w:tcW w:w="70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A股弃权比例"/>
            <w:tag w:val="_GBC_3723b88f133b472497fbb1e22ce723a0"/>
            <w:id w:val="87977986"/>
          </w:sdtPr>
          <w:sdtContent>
            <w:tc>
              <w:tcPr>
                <w:tcW w:w="70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tc>
          <w:tcPr>
            <w:tcW w:w="638" w:type="dxa"/>
            <w:vMerge w:val="restart"/>
          </w:tcPr>
          <w:p w:rsidR="00990FC8" w:rsidRDefault="00990FC8">
            <w:pPr>
              <w:pStyle w:val="TableParagraph"/>
              <w:rPr>
                <w:sz w:val="20"/>
              </w:rPr>
            </w:pPr>
          </w:p>
          <w:p w:rsidR="00990FC8" w:rsidRDefault="00990FC8">
            <w:pPr>
              <w:pStyle w:val="TableParagraph"/>
              <w:rPr>
                <w:sz w:val="20"/>
              </w:rPr>
            </w:pPr>
          </w:p>
          <w:p w:rsidR="00990FC8" w:rsidRDefault="00990FC8">
            <w:pPr>
              <w:pStyle w:val="TableParagraph"/>
              <w:rPr>
                <w:sz w:val="20"/>
              </w:rPr>
            </w:pPr>
          </w:p>
          <w:p w:rsidR="00990FC8" w:rsidRDefault="00990FC8">
            <w:pPr>
              <w:pStyle w:val="TableParagraph"/>
              <w:spacing w:before="158"/>
              <w:ind w:left="118"/>
              <w:rPr>
                <w:sz w:val="20"/>
              </w:rPr>
            </w:pPr>
            <w:proofErr w:type="spellStart"/>
            <w:r>
              <w:rPr>
                <w:sz w:val="20"/>
              </w:rPr>
              <w:t>通過</w:t>
            </w:r>
            <w:proofErr w:type="spellEnd"/>
          </w:p>
        </w:tc>
      </w:tr>
      <w:tr w:rsidR="00990FC8" w:rsidTr="00990FC8">
        <w:trPr>
          <w:trHeight w:val="760"/>
        </w:trPr>
        <w:tc>
          <w:tcPr>
            <w:tcW w:w="641" w:type="dxa"/>
            <w:vMerge/>
            <w:tcBorders>
              <w:top w:val="nil"/>
            </w:tcBorders>
          </w:tcPr>
          <w:p w:rsidR="00990FC8" w:rsidRDefault="00990FC8">
            <w:pPr>
              <w:rPr>
                <w:sz w:val="2"/>
                <w:szCs w:val="2"/>
              </w:rPr>
            </w:pPr>
          </w:p>
        </w:tc>
        <w:tc>
          <w:tcPr>
            <w:tcW w:w="1488" w:type="dxa"/>
            <w:vMerge/>
            <w:tcBorders>
              <w:top w:val="nil"/>
            </w:tcBorders>
          </w:tcPr>
          <w:p w:rsidR="00990FC8" w:rsidRDefault="00990FC8">
            <w:pPr>
              <w:rPr>
                <w:sz w:val="2"/>
                <w:szCs w:val="2"/>
              </w:rPr>
            </w:pPr>
          </w:p>
        </w:tc>
        <w:tc>
          <w:tcPr>
            <w:tcW w:w="1297" w:type="dxa"/>
          </w:tcPr>
          <w:p w:rsidR="00990FC8" w:rsidRDefault="00990FC8">
            <w:pPr>
              <w:pStyle w:val="TableParagraph"/>
              <w:spacing w:before="3"/>
              <w:rPr>
                <w:sz w:val="17"/>
              </w:rPr>
            </w:pPr>
          </w:p>
          <w:p w:rsidR="00990FC8" w:rsidRDefault="00990FC8">
            <w:pPr>
              <w:pStyle w:val="TableParagraph"/>
              <w:ind w:left="213" w:right="211"/>
              <w:jc w:val="center"/>
              <w:rPr>
                <w:sz w:val="20"/>
              </w:rPr>
            </w:pPr>
            <w:r>
              <w:rPr>
                <w:rFonts w:ascii="Times New Roman" w:eastAsia="Times New Roman"/>
                <w:sz w:val="20"/>
              </w:rPr>
              <w:t xml:space="preserve">H </w:t>
            </w:r>
            <w:proofErr w:type="spellStart"/>
            <w:r>
              <w:rPr>
                <w:sz w:val="20"/>
              </w:rPr>
              <w:t>股股東</w:t>
            </w:r>
            <w:proofErr w:type="spellEnd"/>
          </w:p>
        </w:tc>
        <w:sdt>
          <w:sdtPr>
            <w:rPr>
              <w:rFonts w:ascii="Times New Roman" w:hAnsi="Times New Roman" w:cs="Times New Roman"/>
              <w:sz w:val="21"/>
              <w:szCs w:val="21"/>
            </w:rPr>
            <w:alias w:val="非累积投票议案表决情况_H股同意票数"/>
            <w:tag w:val="_GBC_2fcdc641df2f4a3493d9b11d2f2307f3"/>
            <w:id w:val="87977988"/>
          </w:sdtPr>
          <w:sdtContent>
            <w:tc>
              <w:tcPr>
                <w:tcW w:w="123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10,090,474</w:t>
                </w:r>
              </w:p>
            </w:tc>
          </w:sdtContent>
        </w:sdt>
        <w:sdt>
          <w:sdtPr>
            <w:rPr>
              <w:rFonts w:ascii="Times New Roman" w:hAnsi="Times New Roman" w:cs="Times New Roman"/>
              <w:sz w:val="21"/>
              <w:szCs w:val="21"/>
            </w:rPr>
            <w:alias w:val="非累积投票议案表决情况_H股同意比例"/>
            <w:tag w:val="_GBC_e280d12c1f1e450796e41e92c503742b"/>
            <w:id w:val="87977989"/>
          </w:sdtPr>
          <w:sdtContent>
            <w:tc>
              <w:tcPr>
                <w:tcW w:w="991"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100</w:t>
                </w:r>
              </w:p>
            </w:tc>
          </w:sdtContent>
        </w:sdt>
        <w:sdt>
          <w:sdtPr>
            <w:rPr>
              <w:rFonts w:ascii="Times New Roman" w:hAnsi="Times New Roman" w:cs="Times New Roman"/>
              <w:sz w:val="21"/>
              <w:szCs w:val="21"/>
            </w:rPr>
            <w:alias w:val="非累积投票议案表决情况_H股反对票数"/>
            <w:tag w:val="_GBC_0b28c434ce00483d9fcff1cfa9c4245b"/>
            <w:id w:val="87977990"/>
          </w:sdtPr>
          <w:sdtContent>
            <w:tc>
              <w:tcPr>
                <w:tcW w:w="1063"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H股反对比例"/>
            <w:tag w:val="_GBC_8b1264b7ed9442dbb6ea0e24dce7254c"/>
            <w:id w:val="87977991"/>
          </w:sdtPr>
          <w:sdtContent>
            <w:tc>
              <w:tcPr>
                <w:tcW w:w="852"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H股弃权票数"/>
            <w:tag w:val="_GBC_5f45e2f25218467cbecd1889565847da"/>
            <w:id w:val="87977992"/>
          </w:sdtPr>
          <w:sdtContent>
            <w:tc>
              <w:tcPr>
                <w:tcW w:w="70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H股弃权比例"/>
            <w:tag w:val="_GBC_2b65125a94bd437db30fc93abf097c6c"/>
            <w:id w:val="87977993"/>
          </w:sdtPr>
          <w:sdtContent>
            <w:tc>
              <w:tcPr>
                <w:tcW w:w="70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tc>
          <w:tcPr>
            <w:tcW w:w="638" w:type="dxa"/>
            <w:vMerge/>
            <w:tcBorders>
              <w:top w:val="nil"/>
            </w:tcBorders>
          </w:tcPr>
          <w:p w:rsidR="00990FC8" w:rsidRDefault="00990FC8">
            <w:pPr>
              <w:rPr>
                <w:sz w:val="2"/>
                <w:szCs w:val="2"/>
              </w:rPr>
            </w:pPr>
          </w:p>
        </w:tc>
      </w:tr>
      <w:tr w:rsidR="00990FC8" w:rsidTr="00990FC8">
        <w:trPr>
          <w:trHeight w:val="760"/>
        </w:trPr>
        <w:tc>
          <w:tcPr>
            <w:tcW w:w="641" w:type="dxa"/>
            <w:vMerge/>
            <w:tcBorders>
              <w:top w:val="nil"/>
            </w:tcBorders>
          </w:tcPr>
          <w:p w:rsidR="00990FC8" w:rsidRDefault="00990FC8">
            <w:pPr>
              <w:rPr>
                <w:sz w:val="2"/>
                <w:szCs w:val="2"/>
              </w:rPr>
            </w:pPr>
          </w:p>
        </w:tc>
        <w:tc>
          <w:tcPr>
            <w:tcW w:w="1488" w:type="dxa"/>
            <w:vMerge/>
            <w:tcBorders>
              <w:top w:val="nil"/>
            </w:tcBorders>
          </w:tcPr>
          <w:p w:rsidR="00990FC8" w:rsidRDefault="00990FC8">
            <w:pPr>
              <w:rPr>
                <w:sz w:val="2"/>
                <w:szCs w:val="2"/>
              </w:rPr>
            </w:pPr>
          </w:p>
        </w:tc>
        <w:tc>
          <w:tcPr>
            <w:tcW w:w="1297" w:type="dxa"/>
          </w:tcPr>
          <w:p w:rsidR="00990FC8" w:rsidRDefault="00990FC8">
            <w:pPr>
              <w:pStyle w:val="TableParagraph"/>
              <w:spacing w:before="1"/>
              <w:rPr>
                <w:sz w:val="17"/>
              </w:rPr>
            </w:pPr>
          </w:p>
          <w:p w:rsidR="00990FC8" w:rsidRDefault="00990FC8">
            <w:pPr>
              <w:pStyle w:val="TableParagraph"/>
              <w:ind w:left="213" w:right="211"/>
              <w:jc w:val="center"/>
              <w:rPr>
                <w:sz w:val="20"/>
              </w:rPr>
            </w:pPr>
            <w:proofErr w:type="spellStart"/>
            <w:r>
              <w:rPr>
                <w:sz w:val="20"/>
              </w:rPr>
              <w:t>全體股東</w:t>
            </w:r>
            <w:proofErr w:type="spellEnd"/>
          </w:p>
        </w:tc>
        <w:sdt>
          <w:sdtPr>
            <w:rPr>
              <w:rFonts w:ascii="Times New Roman" w:hAnsi="Times New Roman" w:cs="Times New Roman"/>
              <w:sz w:val="21"/>
              <w:szCs w:val="21"/>
            </w:rPr>
            <w:alias w:val="非累积投票议案表决情况_除优先股外的其他股份小计同意票数"/>
            <w:tag w:val="_GBC_040e2c03527143b38b3e2a4351397acf"/>
            <w:id w:val="87977995"/>
          </w:sdtPr>
          <w:sdtContent>
            <w:tc>
              <w:tcPr>
                <w:tcW w:w="123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30,093,956</w:t>
                </w:r>
              </w:p>
            </w:tc>
          </w:sdtContent>
        </w:sdt>
        <w:sdt>
          <w:sdtPr>
            <w:rPr>
              <w:rFonts w:ascii="Times New Roman" w:hAnsi="Times New Roman" w:cs="Times New Roman"/>
              <w:sz w:val="21"/>
              <w:szCs w:val="21"/>
            </w:rPr>
            <w:alias w:val="非累积投票议案表决情况_除优先股外的其他股份小计同意比例"/>
            <w:tag w:val="_GBC_1e37e74a476948e8829a99acbb83122e"/>
            <w:id w:val="87977996"/>
          </w:sdtPr>
          <w:sdtContent>
            <w:tc>
              <w:tcPr>
                <w:tcW w:w="991"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100</w:t>
                </w:r>
              </w:p>
            </w:tc>
          </w:sdtContent>
        </w:sdt>
        <w:sdt>
          <w:sdtPr>
            <w:rPr>
              <w:rFonts w:ascii="Times New Roman" w:hAnsi="Times New Roman" w:cs="Times New Roman"/>
              <w:sz w:val="21"/>
              <w:szCs w:val="21"/>
            </w:rPr>
            <w:alias w:val="非累积投票议案表决情况_除优先股外的其他股份小计反对票数"/>
            <w:tag w:val="_GBC_7dc8df05f05c489988107f3c3b268324"/>
            <w:id w:val="87977997"/>
          </w:sdtPr>
          <w:sdtContent>
            <w:tc>
              <w:tcPr>
                <w:tcW w:w="1063"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除优先股外的其他股份小计反对比例"/>
            <w:tag w:val="_GBC_4163dd37a2e34d40aa914b4a6912ab58"/>
            <w:id w:val="87977998"/>
          </w:sdtPr>
          <w:sdtContent>
            <w:tc>
              <w:tcPr>
                <w:tcW w:w="852"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除优先股外的其他股份小计弃权票数"/>
            <w:tag w:val="_GBC_4fc802fc2eb64b0d922e60109ed550dd"/>
            <w:id w:val="87977999"/>
          </w:sdtPr>
          <w:sdtContent>
            <w:tc>
              <w:tcPr>
                <w:tcW w:w="70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sdt>
          <w:sdtPr>
            <w:rPr>
              <w:rFonts w:ascii="Times New Roman" w:hAnsi="Times New Roman" w:cs="Times New Roman"/>
              <w:sz w:val="21"/>
              <w:szCs w:val="21"/>
            </w:rPr>
            <w:alias w:val="非累积投票议案表决情况_除优先股外的其他股份小计弃权比例"/>
            <w:tag w:val="_GBC_78fe092302bc40caaf0ef7fd4111a7ba"/>
            <w:id w:val="87978000"/>
          </w:sdtPr>
          <w:sdtContent>
            <w:tc>
              <w:tcPr>
                <w:tcW w:w="708" w:type="dxa"/>
                <w:vAlign w:val="center"/>
              </w:tcPr>
              <w:p w:rsidR="00990FC8" w:rsidRPr="00990FC8" w:rsidRDefault="00990FC8" w:rsidP="00990FC8">
                <w:pPr>
                  <w:jc w:val="right"/>
                  <w:rPr>
                    <w:rFonts w:ascii="Times New Roman" w:hAnsi="Times New Roman" w:cs="Times New Roman"/>
                    <w:sz w:val="21"/>
                    <w:szCs w:val="21"/>
                  </w:rPr>
                </w:pPr>
                <w:r w:rsidRPr="00990FC8">
                  <w:rPr>
                    <w:rFonts w:ascii="Times New Roman" w:hAnsi="Times New Roman" w:cs="Times New Roman"/>
                    <w:sz w:val="21"/>
                    <w:szCs w:val="21"/>
                  </w:rPr>
                  <w:t>0</w:t>
                </w:r>
              </w:p>
            </w:tc>
          </w:sdtContent>
        </w:sdt>
        <w:tc>
          <w:tcPr>
            <w:tcW w:w="638" w:type="dxa"/>
            <w:vMerge/>
            <w:tcBorders>
              <w:top w:val="nil"/>
            </w:tcBorders>
          </w:tcPr>
          <w:p w:rsidR="00990FC8" w:rsidRDefault="00990FC8">
            <w:pPr>
              <w:rPr>
                <w:sz w:val="2"/>
                <w:szCs w:val="2"/>
              </w:rPr>
            </w:pPr>
          </w:p>
        </w:tc>
      </w:tr>
    </w:tbl>
    <w:p w:rsidR="00D71DEE" w:rsidRDefault="00D71DEE">
      <w:pPr>
        <w:pStyle w:val="a3"/>
        <w:spacing w:before="6"/>
        <w:rPr>
          <w:sz w:val="26"/>
        </w:rPr>
      </w:pPr>
    </w:p>
    <w:p w:rsidR="00D71DEE" w:rsidRDefault="00E24090">
      <w:pPr>
        <w:pStyle w:val="a3"/>
        <w:spacing w:before="74" w:line="280" w:lineRule="auto"/>
        <w:ind w:left="380" w:right="381"/>
        <w:rPr>
          <w:lang w:eastAsia="zh-TW"/>
        </w:rPr>
      </w:pPr>
      <w:r>
        <w:rPr>
          <w:lang w:eastAsia="zh-TW"/>
        </w:rPr>
        <w:t>根據《公司法》和本公司《公司章程》的有關規定，議案</w:t>
      </w:r>
      <w:r>
        <w:rPr>
          <w:rFonts w:ascii="Times New Roman" w:eastAsia="Times New Roman"/>
          <w:lang w:eastAsia="zh-TW"/>
        </w:rPr>
        <w:t>1</w:t>
      </w:r>
      <w:r>
        <w:rPr>
          <w:lang w:eastAsia="zh-TW"/>
        </w:rPr>
        <w:t>為普通決議案，已經親自或委派代理出席臨時股東大會有表決權的股東所持股份的</w:t>
      </w:r>
      <w:r>
        <w:rPr>
          <w:rFonts w:ascii="Times New Roman" w:eastAsia="Times New Roman"/>
          <w:lang w:eastAsia="zh-TW"/>
        </w:rPr>
        <w:t>50%</w:t>
      </w:r>
      <w:r>
        <w:rPr>
          <w:lang w:eastAsia="zh-TW"/>
        </w:rPr>
        <w:t>以上通過。</w:t>
      </w:r>
    </w:p>
    <w:p w:rsidR="00D71DEE" w:rsidRDefault="00E24090">
      <w:pPr>
        <w:pStyle w:val="2"/>
        <w:spacing w:before="155"/>
        <w:rPr>
          <w:lang w:eastAsia="zh-TW"/>
        </w:rPr>
      </w:pPr>
      <w:r>
        <w:rPr>
          <w:lang w:eastAsia="zh-TW"/>
        </w:rPr>
        <w:t>監票人</w:t>
      </w:r>
    </w:p>
    <w:p w:rsidR="00D71DEE" w:rsidRDefault="00E24090">
      <w:pPr>
        <w:pStyle w:val="a3"/>
        <w:spacing w:before="214" w:line="280" w:lineRule="auto"/>
        <w:ind w:left="380" w:right="374"/>
        <w:jc w:val="both"/>
        <w:rPr>
          <w:lang w:eastAsia="zh-TW"/>
        </w:rPr>
      </w:pPr>
      <w:r>
        <w:rPr>
          <w:lang w:eastAsia="zh-TW"/>
        </w:rPr>
        <w:t>本公司審計師大信會計師事務所（特殊普通合夥</w:t>
      </w:r>
      <w:r w:rsidR="00467387">
        <w:rPr>
          <w:rFonts w:hint="eastAsia"/>
          <w:lang w:eastAsia="zh-TW"/>
        </w:rPr>
        <w:t>）的</w:t>
      </w:r>
      <w:r w:rsidR="00467387" w:rsidRPr="00467387">
        <w:rPr>
          <w:rFonts w:eastAsia="PMingLiU" w:hint="eastAsia"/>
          <w:lang w:eastAsia="zh-TW"/>
        </w:rPr>
        <w:t>鄧年華</w:t>
      </w:r>
      <w:r w:rsidR="00467387">
        <w:rPr>
          <w:rFonts w:hint="eastAsia"/>
          <w:lang w:eastAsia="zh-TW"/>
        </w:rPr>
        <w:t>先生、公司兩名股東代表</w:t>
      </w:r>
      <w:r w:rsidR="00467387" w:rsidRPr="00467387">
        <w:rPr>
          <w:rFonts w:eastAsia="PMingLiU" w:hint="eastAsia"/>
          <w:lang w:eastAsia="zh-TW"/>
        </w:rPr>
        <w:t>顏煥章</w:t>
      </w:r>
      <w:r w:rsidR="00467387">
        <w:rPr>
          <w:rFonts w:hint="eastAsia"/>
          <w:lang w:eastAsia="zh-TW"/>
        </w:rPr>
        <w:t>先生和陳凱川先生，以及公司監事</w:t>
      </w:r>
      <w:r w:rsidR="00467387" w:rsidRPr="00467387">
        <w:rPr>
          <w:rFonts w:eastAsia="PMingLiU" w:hint="eastAsia"/>
          <w:lang w:eastAsia="zh-TW"/>
        </w:rPr>
        <w:t>會主席金學堅先生</w:t>
      </w:r>
      <w:r w:rsidR="00467387">
        <w:rPr>
          <w:rFonts w:hint="eastAsia"/>
          <w:lang w:eastAsia="zh-TW"/>
        </w:rPr>
        <w:t>就點票事宜擔任大會</w:t>
      </w:r>
      <w:r>
        <w:rPr>
          <w:lang w:eastAsia="zh-TW"/>
        </w:rPr>
        <w:t>投票表決的監票人。</w:t>
      </w:r>
    </w:p>
    <w:p w:rsidR="00D71DEE" w:rsidRDefault="00E24090">
      <w:pPr>
        <w:pStyle w:val="2"/>
        <w:spacing w:before="154"/>
        <w:rPr>
          <w:lang w:eastAsia="zh-TW"/>
        </w:rPr>
      </w:pPr>
      <w:r>
        <w:rPr>
          <w:lang w:eastAsia="zh-TW"/>
        </w:rPr>
        <w:t>律師見證</w:t>
      </w:r>
    </w:p>
    <w:p w:rsidR="00D71DEE" w:rsidRDefault="00E24090">
      <w:pPr>
        <w:pStyle w:val="a3"/>
        <w:spacing w:before="214" w:line="278" w:lineRule="auto"/>
        <w:ind w:left="380" w:right="374"/>
        <w:jc w:val="both"/>
        <w:rPr>
          <w:lang w:eastAsia="zh-TW"/>
        </w:rPr>
      </w:pPr>
      <w:r>
        <w:rPr>
          <w:lang w:eastAsia="zh-TW"/>
        </w:rPr>
        <w:t>臨時股東大會由廣東</w:t>
      </w:r>
      <w:r w:rsidR="00BF5520" w:rsidRPr="00BF5520">
        <w:rPr>
          <w:rFonts w:hint="eastAsia"/>
          <w:lang w:eastAsia="zh-TW"/>
        </w:rPr>
        <w:t>经国</w:t>
      </w:r>
      <w:r>
        <w:rPr>
          <w:lang w:eastAsia="zh-TW"/>
        </w:rPr>
        <w:t>律師事務所律師</w:t>
      </w:r>
      <w:r w:rsidR="00BF5520">
        <w:rPr>
          <w:rFonts w:ascii="Times New Roman" w:eastAsia="PMingLiU" w:hAnsi="Times New Roman" w:cs="Times New Roman" w:hint="eastAsia"/>
          <w:lang w:val="en-GB" w:eastAsia="zh-TW"/>
        </w:rPr>
        <w:t>陳崇武</w:t>
      </w:r>
      <w:r w:rsidR="00BF5520" w:rsidRPr="005E6928">
        <w:rPr>
          <w:rFonts w:ascii="Times New Roman" w:eastAsia="PMingLiU" w:hAnsi="Times New Roman" w:cs="Times New Roman" w:hint="eastAsia"/>
          <w:lang w:val="en-GB" w:eastAsia="zh-TW"/>
        </w:rPr>
        <w:t>先生</w:t>
      </w:r>
      <w:r w:rsidR="00BF5520">
        <w:rPr>
          <w:rFonts w:ascii="Times New Roman" w:eastAsia="PMingLiU" w:hAnsi="Times New Roman" w:cs="Times New Roman" w:hint="eastAsia"/>
          <w:lang w:val="en-GB" w:eastAsia="zh-TW"/>
        </w:rPr>
        <w:t>和</w:t>
      </w:r>
      <w:r w:rsidR="00BF5520" w:rsidRPr="001A5ECE">
        <w:rPr>
          <w:rFonts w:ascii="Times New Roman" w:eastAsia="PMingLiU" w:hAnsi="Times New Roman" w:cs="Times New Roman" w:hint="eastAsia"/>
          <w:lang w:val="en-GB" w:eastAsia="zh-TW"/>
        </w:rPr>
        <w:t>胡文鋒</w:t>
      </w:r>
      <w:r w:rsidR="00BF5520" w:rsidRPr="00B621E7">
        <w:rPr>
          <w:rFonts w:ascii="Times New Roman" w:eastAsia="PMingLiU" w:hAnsi="Times New Roman" w:cs="Times New Roman" w:hint="eastAsia"/>
          <w:lang w:val="en-GB" w:eastAsia="zh-TW"/>
        </w:rPr>
        <w:t>先生</w:t>
      </w:r>
      <w:r>
        <w:rPr>
          <w:lang w:eastAsia="zh-TW"/>
        </w:rPr>
        <w:t>出席見證，並出具了《法律意見書》，見證律師認為：公司臨時股東大會的召集召開程序、出席臨時股東大會人員的資格和臨時股東大會的表決程式均符合中國《公司法》、《上市公司股東大會規則》和《公司章程》的規定，大會合法有效。</w:t>
      </w:r>
    </w:p>
    <w:p w:rsidR="00D71DEE" w:rsidRDefault="00D71DEE">
      <w:pPr>
        <w:pStyle w:val="a3"/>
        <w:rPr>
          <w:lang w:eastAsia="zh-TW"/>
        </w:rPr>
      </w:pPr>
    </w:p>
    <w:p w:rsidR="00D71DEE" w:rsidRDefault="00D71DEE">
      <w:pPr>
        <w:pStyle w:val="a3"/>
        <w:spacing w:before="9"/>
        <w:rPr>
          <w:sz w:val="20"/>
          <w:lang w:eastAsia="zh-TW"/>
        </w:rPr>
      </w:pPr>
    </w:p>
    <w:p w:rsidR="00D71DEE" w:rsidRDefault="00E24090">
      <w:pPr>
        <w:pStyle w:val="a3"/>
        <w:ind w:left="5340" w:right="806"/>
        <w:jc w:val="center"/>
        <w:rPr>
          <w:lang w:eastAsia="zh-TW"/>
        </w:rPr>
      </w:pPr>
      <w:r>
        <w:rPr>
          <w:lang w:eastAsia="zh-TW"/>
        </w:rPr>
        <w:t>承董事會命</w:t>
      </w:r>
    </w:p>
    <w:p w:rsidR="00D71DEE" w:rsidRDefault="00E24090">
      <w:pPr>
        <w:pStyle w:val="2"/>
        <w:spacing w:before="162"/>
        <w:ind w:left="5340" w:right="806"/>
        <w:jc w:val="center"/>
        <w:rPr>
          <w:lang w:eastAsia="zh-TW"/>
        </w:rPr>
      </w:pPr>
      <w:r>
        <w:rPr>
          <w:lang w:eastAsia="zh-TW"/>
        </w:rPr>
        <w:t>中船海洋與防務裝備股份有限公司</w:t>
      </w:r>
    </w:p>
    <w:p w:rsidR="00D71DEE" w:rsidRDefault="00E24090">
      <w:pPr>
        <w:spacing w:before="151"/>
        <w:ind w:left="5340" w:right="806"/>
        <w:jc w:val="center"/>
        <w:rPr>
          <w:i/>
          <w:sz w:val="25"/>
          <w:lang w:eastAsia="zh-TW"/>
        </w:rPr>
      </w:pPr>
      <w:r>
        <w:rPr>
          <w:i/>
          <w:w w:val="95"/>
          <w:sz w:val="25"/>
          <w:lang w:eastAsia="zh-TW"/>
        </w:rPr>
        <w:t>公司秘書</w:t>
      </w:r>
    </w:p>
    <w:p w:rsidR="00D71DEE" w:rsidRDefault="00E24090">
      <w:pPr>
        <w:spacing w:before="157"/>
        <w:ind w:left="5340" w:right="806"/>
        <w:jc w:val="center"/>
        <w:rPr>
          <w:b/>
          <w:sz w:val="24"/>
          <w:lang w:eastAsia="zh-TW"/>
        </w:rPr>
      </w:pPr>
      <w:r>
        <w:rPr>
          <w:b/>
          <w:w w:val="95"/>
          <w:sz w:val="24"/>
          <w:lang w:eastAsia="zh-TW"/>
        </w:rPr>
        <w:t>李志東</w:t>
      </w:r>
    </w:p>
    <w:p w:rsidR="00D71DEE" w:rsidRDefault="00D71DEE">
      <w:pPr>
        <w:pStyle w:val="a3"/>
        <w:rPr>
          <w:b/>
          <w:lang w:eastAsia="zh-TW"/>
        </w:rPr>
      </w:pPr>
    </w:p>
    <w:p w:rsidR="00D71DEE" w:rsidRDefault="00D71DEE">
      <w:pPr>
        <w:pStyle w:val="a3"/>
        <w:spacing w:before="4"/>
        <w:rPr>
          <w:b/>
          <w:sz w:val="20"/>
          <w:lang w:eastAsia="zh-TW"/>
        </w:rPr>
      </w:pPr>
    </w:p>
    <w:p w:rsidR="00D71DEE" w:rsidRDefault="00E24090">
      <w:pPr>
        <w:pStyle w:val="a3"/>
        <w:ind w:left="380"/>
        <w:rPr>
          <w:lang w:eastAsia="zh-TW"/>
        </w:rPr>
      </w:pPr>
      <w:r>
        <w:rPr>
          <w:lang w:eastAsia="zh-TW"/>
        </w:rPr>
        <w:t>廣州，</w:t>
      </w:r>
      <w:r>
        <w:rPr>
          <w:rFonts w:ascii="Times New Roman" w:eastAsia="Times New Roman"/>
          <w:lang w:eastAsia="zh-TW"/>
        </w:rPr>
        <w:t>2020</w:t>
      </w:r>
      <w:r>
        <w:rPr>
          <w:lang w:eastAsia="zh-TW"/>
        </w:rPr>
        <w:t>年</w:t>
      </w:r>
      <w:r w:rsidR="007B5611" w:rsidRPr="007B5611">
        <w:rPr>
          <w:rFonts w:ascii="Times New Roman" w:eastAsiaTheme="minorEastAsia" w:hAnsi="Times New Roman" w:cs="Times New Roman"/>
          <w:lang w:eastAsia="zh-TW"/>
        </w:rPr>
        <w:t>4</w:t>
      </w:r>
      <w:r>
        <w:rPr>
          <w:lang w:eastAsia="zh-TW"/>
        </w:rPr>
        <w:t>月</w:t>
      </w:r>
      <w:r>
        <w:rPr>
          <w:rFonts w:ascii="Times New Roman" w:eastAsia="Times New Roman"/>
          <w:lang w:eastAsia="zh-TW"/>
        </w:rPr>
        <w:t>2</w:t>
      </w:r>
      <w:r w:rsidR="007B5611">
        <w:rPr>
          <w:rFonts w:asciiTheme="minorEastAsia" w:eastAsiaTheme="minorEastAsia" w:hAnsiTheme="minorEastAsia" w:hint="eastAsia"/>
          <w:lang w:eastAsia="zh-TW"/>
        </w:rPr>
        <w:t>4</w:t>
      </w:r>
      <w:r>
        <w:rPr>
          <w:lang w:eastAsia="zh-TW"/>
        </w:rPr>
        <w:t>日</w:t>
      </w:r>
    </w:p>
    <w:p w:rsidR="00D71DEE" w:rsidRDefault="00E24090">
      <w:pPr>
        <w:pStyle w:val="1"/>
        <w:spacing w:before="161" w:line="230" w:lineRule="auto"/>
        <w:rPr>
          <w:lang w:eastAsia="zh-TW"/>
        </w:rPr>
      </w:pPr>
      <w:r>
        <w:rPr>
          <w:w w:val="95"/>
          <w:lang w:eastAsia="zh-TW"/>
        </w:rPr>
        <w:t>於本公告公佈之日，董事會的十一位成員分別為：執行董事韓廣德先生、陳忠前先生、陳利平先生、盛紀綱先生、向輝明先生及陳激先生；非執行董事施俊先生；以及獨立</w:t>
      </w:r>
      <w:r>
        <w:rPr>
          <w:lang w:eastAsia="zh-TW"/>
        </w:rPr>
        <w:t>非執行董事王翼初先生、閔衛國先生、劉人懷先生及喻世友先生。</w:t>
      </w:r>
    </w:p>
    <w:sectPr w:rsidR="00D71DEE" w:rsidSect="004A6C48">
      <w:pgSz w:w="11910" w:h="16840"/>
      <w:pgMar w:top="1420" w:right="1060" w:bottom="1480" w:left="1060" w:header="0" w:footer="12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052" w:rsidRDefault="009E4052">
      <w:r>
        <w:separator/>
      </w:r>
    </w:p>
  </w:endnote>
  <w:endnote w:type="continuationSeparator" w:id="0">
    <w:p w:rsidR="009E4052" w:rsidRDefault="009E40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EE" w:rsidRDefault="00A7204A">
    <w:pPr>
      <w:pStyle w:val="a3"/>
      <w:spacing w:line="14" w:lineRule="auto"/>
      <w:rPr>
        <w:sz w:val="20"/>
      </w:rPr>
    </w:pPr>
    <w:r w:rsidRPr="00A7204A">
      <w:pict>
        <v:shapetype id="_x0000_t202" coordsize="21600,21600" o:spt="202" path="m,l,21600r21600,l21600,xe">
          <v:stroke joinstyle="miter"/>
          <v:path gradientshapeok="t" o:connecttype="rect"/>
        </v:shapetype>
        <v:shape id="_x0000_s2049" type="#_x0000_t202" style="position:absolute;margin-left:291.85pt;margin-top:766.65pt;width:11.6pt;height:13.05pt;z-index:-251658752;mso-position-horizontal-relative:page;mso-position-vertical-relative:page" filled="f" stroked="f">
          <v:textbox inset="0,0,0,0">
            <w:txbxContent>
              <w:p w:rsidR="00D71DEE" w:rsidRDefault="00A7204A">
                <w:pPr>
                  <w:spacing w:line="245" w:lineRule="exact"/>
                  <w:ind w:left="60"/>
                  <w:rPr>
                    <w:rFonts w:ascii="Calibri"/>
                  </w:rPr>
                </w:pPr>
                <w:r>
                  <w:fldChar w:fldCharType="begin"/>
                </w:r>
                <w:r w:rsidR="00E24090">
                  <w:rPr>
                    <w:rFonts w:ascii="Calibri"/>
                  </w:rPr>
                  <w:instrText xml:space="preserve"> PAGE </w:instrText>
                </w:r>
                <w:r>
                  <w:fldChar w:fldCharType="separate"/>
                </w:r>
                <w:r w:rsidR="00990FC8">
                  <w:rPr>
                    <w:rFonts w:ascii="Calibri"/>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052" w:rsidRDefault="009E4052">
      <w:r>
        <w:separator/>
      </w:r>
    </w:p>
  </w:footnote>
  <w:footnote w:type="continuationSeparator" w:id="0">
    <w:p w:rsidR="009E4052" w:rsidRDefault="009E40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shapeLayoutLikeWW8/>
    <w:useFELayout/>
  </w:compat>
  <w:rsids>
    <w:rsidRoot w:val="00D71DEE"/>
    <w:rsid w:val="00247A95"/>
    <w:rsid w:val="00467387"/>
    <w:rsid w:val="004A6C48"/>
    <w:rsid w:val="0053417A"/>
    <w:rsid w:val="007B5611"/>
    <w:rsid w:val="00853FD8"/>
    <w:rsid w:val="008C7C17"/>
    <w:rsid w:val="00990FC8"/>
    <w:rsid w:val="00995628"/>
    <w:rsid w:val="009A58A3"/>
    <w:rsid w:val="009E4052"/>
    <w:rsid w:val="00A41E82"/>
    <w:rsid w:val="00A7204A"/>
    <w:rsid w:val="00B46412"/>
    <w:rsid w:val="00BA0BB2"/>
    <w:rsid w:val="00BA134A"/>
    <w:rsid w:val="00BF5520"/>
    <w:rsid w:val="00D71DEE"/>
    <w:rsid w:val="00E24090"/>
    <w:rsid w:val="00F8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48"/>
    <w:rPr>
      <w:rFonts w:ascii="MingLiU" w:eastAsia="MingLiU" w:hAnsi="MingLiU" w:cs="MingLiU"/>
    </w:rPr>
  </w:style>
  <w:style w:type="paragraph" w:styleId="1">
    <w:name w:val="heading 1"/>
    <w:basedOn w:val="a"/>
    <w:uiPriority w:val="9"/>
    <w:qFormat/>
    <w:rsid w:val="004A6C48"/>
    <w:pPr>
      <w:spacing w:before="151"/>
      <w:ind w:left="379" w:right="134"/>
      <w:outlineLvl w:val="0"/>
    </w:pPr>
    <w:rPr>
      <w:i/>
      <w:sz w:val="25"/>
      <w:szCs w:val="25"/>
    </w:rPr>
  </w:style>
  <w:style w:type="paragraph" w:styleId="2">
    <w:name w:val="heading 2"/>
    <w:basedOn w:val="a"/>
    <w:uiPriority w:val="9"/>
    <w:unhideWhenUsed/>
    <w:qFormat/>
    <w:rsid w:val="004A6C48"/>
    <w:pPr>
      <w:spacing w:before="146"/>
      <w:ind w:left="38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4A6C48"/>
    <w:tblPr>
      <w:tblInd w:w="0" w:type="dxa"/>
      <w:tblCellMar>
        <w:top w:w="0" w:type="dxa"/>
        <w:left w:w="0" w:type="dxa"/>
        <w:bottom w:w="0" w:type="dxa"/>
        <w:right w:w="0" w:type="dxa"/>
      </w:tblCellMar>
    </w:tblPr>
  </w:style>
  <w:style w:type="paragraph" w:styleId="a3">
    <w:name w:val="Body Text"/>
    <w:basedOn w:val="a"/>
    <w:uiPriority w:val="1"/>
    <w:qFormat/>
    <w:rsid w:val="004A6C48"/>
    <w:rPr>
      <w:sz w:val="24"/>
      <w:szCs w:val="24"/>
    </w:rPr>
  </w:style>
  <w:style w:type="paragraph" w:styleId="a4">
    <w:name w:val="List Paragraph"/>
    <w:basedOn w:val="a"/>
    <w:uiPriority w:val="1"/>
    <w:qFormat/>
    <w:rsid w:val="004A6C48"/>
  </w:style>
  <w:style w:type="paragraph" w:customStyle="1" w:styleId="TableParagraph">
    <w:name w:val="Table Paragraph"/>
    <w:basedOn w:val="a"/>
    <w:uiPriority w:val="1"/>
    <w:qFormat/>
    <w:rsid w:val="004A6C48"/>
  </w:style>
  <w:style w:type="paragraph" w:styleId="a5">
    <w:name w:val="header"/>
    <w:basedOn w:val="a"/>
    <w:link w:val="Char"/>
    <w:uiPriority w:val="99"/>
    <w:unhideWhenUsed/>
    <w:rsid w:val="00995628"/>
    <w:pPr>
      <w:tabs>
        <w:tab w:val="center" w:pos="4153"/>
        <w:tab w:val="right" w:pos="8306"/>
      </w:tabs>
      <w:snapToGrid w:val="0"/>
    </w:pPr>
    <w:rPr>
      <w:sz w:val="20"/>
      <w:szCs w:val="20"/>
    </w:rPr>
  </w:style>
  <w:style w:type="character" w:customStyle="1" w:styleId="Char">
    <w:name w:val="页眉 Char"/>
    <w:basedOn w:val="a0"/>
    <w:link w:val="a5"/>
    <w:uiPriority w:val="99"/>
    <w:rsid w:val="00995628"/>
    <w:rPr>
      <w:rFonts w:ascii="MingLiU" w:eastAsia="MingLiU" w:hAnsi="MingLiU" w:cs="MingLiU"/>
      <w:sz w:val="20"/>
      <w:szCs w:val="20"/>
    </w:rPr>
  </w:style>
  <w:style w:type="paragraph" w:styleId="a6">
    <w:name w:val="footer"/>
    <w:basedOn w:val="a"/>
    <w:link w:val="Char0"/>
    <w:uiPriority w:val="99"/>
    <w:unhideWhenUsed/>
    <w:rsid w:val="00995628"/>
    <w:pPr>
      <w:tabs>
        <w:tab w:val="center" w:pos="4153"/>
        <w:tab w:val="right" w:pos="8306"/>
      </w:tabs>
      <w:snapToGrid w:val="0"/>
    </w:pPr>
    <w:rPr>
      <w:sz w:val="20"/>
      <w:szCs w:val="20"/>
    </w:rPr>
  </w:style>
  <w:style w:type="character" w:customStyle="1" w:styleId="Char0">
    <w:name w:val="页脚 Char"/>
    <w:basedOn w:val="a0"/>
    <w:link w:val="a6"/>
    <w:uiPriority w:val="99"/>
    <w:rsid w:val="00995628"/>
    <w:rPr>
      <w:rFonts w:ascii="MingLiU" w:eastAsia="MingLiU" w:hAnsi="MingLiU" w:cs="MingLiU"/>
      <w:sz w:val="20"/>
      <w:szCs w:val="20"/>
    </w:rPr>
  </w:style>
  <w:style w:type="character" w:styleId="a7">
    <w:name w:val="annotation reference"/>
    <w:basedOn w:val="a0"/>
    <w:uiPriority w:val="99"/>
    <w:rsid w:val="00990FC8"/>
    <w:rPr>
      <w:rFonts w:cs="Times New Roman"/>
      <w:sz w:val="21"/>
      <w:szCs w:val="21"/>
    </w:rPr>
  </w:style>
  <w:style w:type="paragraph" w:styleId="a8">
    <w:name w:val="Balloon Text"/>
    <w:basedOn w:val="a"/>
    <w:link w:val="Char1"/>
    <w:uiPriority w:val="99"/>
    <w:semiHidden/>
    <w:unhideWhenUsed/>
    <w:rsid w:val="00990FC8"/>
    <w:rPr>
      <w:sz w:val="18"/>
      <w:szCs w:val="18"/>
    </w:rPr>
  </w:style>
  <w:style w:type="character" w:customStyle="1" w:styleId="Char1">
    <w:name w:val="批注框文本 Char"/>
    <w:basedOn w:val="a0"/>
    <w:link w:val="a8"/>
    <w:uiPriority w:val="99"/>
    <w:semiHidden/>
    <w:rsid w:val="00990FC8"/>
    <w:rPr>
      <w:rFonts w:ascii="MingLiU" w:eastAsia="MingLiU" w:hAnsi="MingLiU" w:cs="MingLiU"/>
      <w:sz w:val="18"/>
      <w:szCs w:val="18"/>
    </w:rPr>
  </w:style>
</w:styles>
</file>

<file path=word/webSettings.xml><?xml version="1.0" encoding="utf-8"?>
<w:webSettings xmlns:r="http://schemas.openxmlformats.org/officeDocument/2006/relationships" xmlns:w="http://schemas.openxmlformats.org/wordprocessingml/2006/main">
  <w:divs>
    <w:div w:id="35241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中船防务董办</cp:lastModifiedBy>
  <cp:revision>10</cp:revision>
  <dcterms:created xsi:type="dcterms:W3CDTF">2020-04-14T07:29:00Z</dcterms:created>
  <dcterms:modified xsi:type="dcterms:W3CDTF">2020-04-24T08:41:00Z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LastSaved">
    <vt:filetime>2020-04-14T00:00:00Z</vt:filetime>
  </property>
</Properties>
</file>