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76" w:rsidRDefault="00413876">
      <w:pPr>
        <w:spacing w:line="360" w:lineRule="auto"/>
        <w:jc w:val="center"/>
        <w:rPr>
          <w:rFonts w:ascii="黑体" w:eastAsia="黑体" w:hAnsi="黑体"/>
          <w:sz w:val="48"/>
          <w:szCs w:val="48"/>
        </w:rPr>
      </w:pPr>
    </w:p>
    <w:p w:rsidR="00413876" w:rsidRDefault="000E6223">
      <w:pPr>
        <w:spacing w:line="360" w:lineRule="auto"/>
        <w:jc w:val="center"/>
        <w:rPr>
          <w:rFonts w:ascii="宋体" w:hAnsi="宋体"/>
          <w:b/>
          <w:sz w:val="48"/>
          <w:szCs w:val="48"/>
        </w:rPr>
      </w:pPr>
      <w:r>
        <w:rPr>
          <w:rFonts w:ascii="宋体" w:hAnsi="宋体" w:hint="eastAsia"/>
          <w:b/>
          <w:sz w:val="48"/>
          <w:szCs w:val="48"/>
        </w:rPr>
        <w:t>中国国际金融股份有限公司</w:t>
      </w:r>
    </w:p>
    <w:p w:rsidR="00413876" w:rsidRDefault="00413876">
      <w:pPr>
        <w:spacing w:line="360" w:lineRule="auto"/>
        <w:jc w:val="center"/>
        <w:rPr>
          <w:rFonts w:ascii="宋体" w:hAnsi="宋体"/>
          <w:b/>
          <w:sz w:val="48"/>
          <w:szCs w:val="48"/>
        </w:rPr>
      </w:pPr>
    </w:p>
    <w:p w:rsidR="00413876" w:rsidRDefault="000E6223">
      <w:pPr>
        <w:spacing w:line="360" w:lineRule="auto"/>
        <w:jc w:val="center"/>
        <w:rPr>
          <w:rFonts w:ascii="宋体" w:hAnsi="宋体"/>
          <w:b/>
          <w:sz w:val="48"/>
          <w:szCs w:val="48"/>
        </w:rPr>
      </w:pPr>
      <w:r>
        <w:rPr>
          <w:rFonts w:ascii="宋体" w:hAnsi="宋体" w:hint="eastAsia"/>
          <w:b/>
          <w:sz w:val="48"/>
          <w:szCs w:val="48"/>
        </w:rPr>
        <w:t>关于</w:t>
      </w:r>
    </w:p>
    <w:p w:rsidR="00413876" w:rsidRDefault="00413876">
      <w:pPr>
        <w:spacing w:line="360" w:lineRule="auto"/>
        <w:jc w:val="center"/>
        <w:rPr>
          <w:rFonts w:ascii="宋体" w:hAnsi="宋体"/>
          <w:b/>
          <w:sz w:val="48"/>
          <w:szCs w:val="48"/>
        </w:rPr>
      </w:pPr>
    </w:p>
    <w:p w:rsidR="00413876" w:rsidRDefault="000E6223">
      <w:pPr>
        <w:spacing w:line="360" w:lineRule="auto"/>
        <w:jc w:val="center"/>
        <w:rPr>
          <w:rFonts w:ascii="宋体" w:hAnsi="宋体"/>
          <w:b/>
          <w:sz w:val="48"/>
          <w:szCs w:val="48"/>
        </w:rPr>
      </w:pPr>
      <w:r>
        <w:rPr>
          <w:rFonts w:ascii="宋体" w:hAnsi="宋体" w:hint="eastAsia"/>
          <w:b/>
          <w:sz w:val="48"/>
          <w:szCs w:val="48"/>
        </w:rPr>
        <w:t>大连港股份有限公司</w:t>
      </w:r>
    </w:p>
    <w:p w:rsidR="00413876" w:rsidRDefault="000E6223">
      <w:pPr>
        <w:spacing w:line="360" w:lineRule="auto"/>
        <w:jc w:val="center"/>
        <w:rPr>
          <w:rFonts w:ascii="宋体" w:hAnsi="宋体"/>
          <w:b/>
          <w:sz w:val="48"/>
          <w:szCs w:val="48"/>
        </w:rPr>
      </w:pPr>
      <w:r>
        <w:rPr>
          <w:rFonts w:ascii="宋体" w:hAnsi="宋体" w:hint="eastAsia"/>
          <w:b/>
          <w:sz w:val="48"/>
          <w:szCs w:val="48"/>
        </w:rPr>
        <w:t>换股吸收合并营口港务股份有限公司</w:t>
      </w:r>
    </w:p>
    <w:p w:rsidR="00413876" w:rsidRDefault="000E6223">
      <w:pPr>
        <w:spacing w:line="360" w:lineRule="auto"/>
        <w:jc w:val="center"/>
        <w:rPr>
          <w:rFonts w:ascii="宋体" w:hAnsi="宋体"/>
          <w:b/>
          <w:sz w:val="48"/>
          <w:szCs w:val="48"/>
        </w:rPr>
      </w:pPr>
      <w:r>
        <w:rPr>
          <w:rFonts w:ascii="宋体" w:hAnsi="宋体" w:hint="eastAsia"/>
          <w:b/>
          <w:sz w:val="48"/>
          <w:szCs w:val="48"/>
        </w:rPr>
        <w:t>并募集配套资金暨关联交易</w:t>
      </w:r>
    </w:p>
    <w:p w:rsidR="00413876" w:rsidRDefault="000E6223">
      <w:pPr>
        <w:spacing w:line="360" w:lineRule="auto"/>
        <w:jc w:val="center"/>
        <w:rPr>
          <w:rFonts w:ascii="宋体" w:hAnsi="宋体"/>
          <w:b/>
          <w:sz w:val="48"/>
          <w:szCs w:val="48"/>
        </w:rPr>
      </w:pPr>
      <w:r>
        <w:rPr>
          <w:rFonts w:ascii="宋体" w:hAnsi="宋体" w:hint="eastAsia"/>
          <w:b/>
          <w:sz w:val="48"/>
          <w:szCs w:val="48"/>
        </w:rPr>
        <w:t>产业政策和交易类型</w:t>
      </w:r>
    </w:p>
    <w:p w:rsidR="00413876" w:rsidRDefault="00413876">
      <w:pPr>
        <w:spacing w:line="360" w:lineRule="auto"/>
        <w:jc w:val="center"/>
        <w:rPr>
          <w:rFonts w:ascii="宋体" w:hAnsi="宋体"/>
          <w:b/>
          <w:sz w:val="48"/>
          <w:szCs w:val="48"/>
        </w:rPr>
      </w:pPr>
    </w:p>
    <w:p w:rsidR="00413876" w:rsidRDefault="000E6223">
      <w:pPr>
        <w:spacing w:line="360" w:lineRule="auto"/>
        <w:jc w:val="center"/>
        <w:rPr>
          <w:rFonts w:ascii="宋体" w:hAnsi="宋体"/>
          <w:b/>
          <w:sz w:val="48"/>
          <w:szCs w:val="48"/>
        </w:rPr>
      </w:pPr>
      <w:r>
        <w:rPr>
          <w:rFonts w:ascii="宋体" w:hAnsi="宋体" w:hint="eastAsia"/>
          <w:b/>
          <w:sz w:val="48"/>
          <w:szCs w:val="48"/>
        </w:rPr>
        <w:t>之</w:t>
      </w:r>
    </w:p>
    <w:p w:rsidR="00413876" w:rsidRDefault="00413876">
      <w:pPr>
        <w:spacing w:line="360" w:lineRule="auto"/>
        <w:jc w:val="center"/>
        <w:rPr>
          <w:rFonts w:ascii="宋体" w:hAnsi="宋体"/>
          <w:b/>
          <w:sz w:val="48"/>
          <w:szCs w:val="48"/>
        </w:rPr>
      </w:pPr>
    </w:p>
    <w:p w:rsidR="00413876" w:rsidRDefault="000E6223">
      <w:pPr>
        <w:spacing w:line="360" w:lineRule="auto"/>
        <w:jc w:val="center"/>
        <w:rPr>
          <w:rFonts w:ascii="宋体" w:hAnsi="宋体"/>
          <w:b/>
          <w:sz w:val="48"/>
          <w:szCs w:val="48"/>
        </w:rPr>
      </w:pPr>
      <w:r>
        <w:rPr>
          <w:rFonts w:ascii="宋体" w:hAnsi="宋体" w:hint="eastAsia"/>
          <w:b/>
          <w:sz w:val="48"/>
          <w:szCs w:val="48"/>
        </w:rPr>
        <w:t>专项核查意见</w:t>
      </w:r>
    </w:p>
    <w:p w:rsidR="00413876" w:rsidRDefault="00413876">
      <w:pPr>
        <w:pStyle w:val="Default"/>
        <w:spacing w:beforeLines="50" w:before="156" w:afterLines="50" w:after="156" w:line="360" w:lineRule="auto"/>
        <w:ind w:firstLineChars="200" w:firstLine="482"/>
        <w:rPr>
          <w:rFonts w:hAnsi="宋体"/>
          <w:b/>
        </w:rPr>
      </w:pPr>
    </w:p>
    <w:p w:rsidR="00413876" w:rsidRDefault="00413876">
      <w:pPr>
        <w:pStyle w:val="Default"/>
        <w:spacing w:beforeLines="50" w:before="156" w:afterLines="50" w:after="156" w:line="360" w:lineRule="auto"/>
        <w:ind w:firstLineChars="200" w:firstLine="480"/>
        <w:rPr>
          <w:rFonts w:hAnsi="宋体"/>
        </w:rPr>
      </w:pPr>
    </w:p>
    <w:p w:rsidR="00413876" w:rsidRDefault="00413876">
      <w:pPr>
        <w:pStyle w:val="Default"/>
        <w:spacing w:beforeLines="50" w:before="156" w:afterLines="50" w:after="156" w:line="360" w:lineRule="auto"/>
        <w:ind w:firstLineChars="200" w:firstLine="480"/>
        <w:rPr>
          <w:rFonts w:hAnsi="宋体"/>
        </w:rPr>
      </w:pPr>
    </w:p>
    <w:p w:rsidR="00413876" w:rsidRDefault="00413876">
      <w:pPr>
        <w:pStyle w:val="Default"/>
        <w:spacing w:beforeLines="50" w:before="156" w:afterLines="50" w:after="156" w:line="360" w:lineRule="auto"/>
        <w:ind w:firstLineChars="200" w:firstLine="480"/>
        <w:rPr>
          <w:rFonts w:hAnsi="宋体"/>
        </w:rPr>
      </w:pPr>
    </w:p>
    <w:p w:rsidR="00413876" w:rsidRDefault="000E6223">
      <w:pPr>
        <w:spacing w:beforeLines="50" w:before="156" w:afterLines="50" w:after="156" w:line="360" w:lineRule="auto"/>
        <w:jc w:val="center"/>
        <w:rPr>
          <w:b/>
          <w:sz w:val="36"/>
          <w:szCs w:val="36"/>
        </w:rPr>
      </w:pPr>
      <w:r>
        <w:rPr>
          <w:rFonts w:hint="eastAsia"/>
          <w:b/>
          <w:sz w:val="36"/>
          <w:szCs w:val="36"/>
        </w:rPr>
        <w:t>独立财务顾问</w:t>
      </w:r>
    </w:p>
    <w:p w:rsidR="00413876" w:rsidRDefault="000E6223">
      <w:pPr>
        <w:spacing w:beforeLines="50" w:before="156" w:afterLines="50" w:after="156" w:line="360" w:lineRule="auto"/>
        <w:jc w:val="center"/>
        <w:rPr>
          <w:sz w:val="48"/>
          <w:szCs w:val="48"/>
        </w:rPr>
      </w:pPr>
      <w:r>
        <w:rPr>
          <w:noProof/>
        </w:rPr>
        <w:drawing>
          <wp:inline distT="0" distB="0" distL="0" distR="0">
            <wp:extent cx="1397000" cy="504825"/>
            <wp:effectExtent l="0" t="0" r="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0" cy="504825"/>
                    </a:xfrm>
                    <a:prstGeom prst="rect">
                      <a:avLst/>
                    </a:prstGeom>
                    <a:noFill/>
                    <a:ln>
                      <a:noFill/>
                    </a:ln>
                  </pic:spPr>
                </pic:pic>
              </a:graphicData>
            </a:graphic>
          </wp:inline>
        </w:drawing>
      </w:r>
    </w:p>
    <w:p w:rsidR="00413876" w:rsidRDefault="00413876">
      <w:pPr>
        <w:spacing w:beforeLines="50" w:before="156" w:afterLines="50" w:after="156" w:line="360" w:lineRule="auto"/>
        <w:jc w:val="center"/>
        <w:rPr>
          <w:sz w:val="32"/>
        </w:rPr>
      </w:pPr>
    </w:p>
    <w:p w:rsidR="00413876" w:rsidRDefault="000E6223">
      <w:pPr>
        <w:spacing w:beforeLines="50" w:before="156" w:afterLines="50" w:after="156" w:line="360" w:lineRule="auto"/>
        <w:jc w:val="center"/>
        <w:rPr>
          <w:rFonts w:ascii="Times New Roman"/>
          <w:sz w:val="32"/>
          <w:szCs w:val="32"/>
        </w:rPr>
        <w:sectPr w:rsidR="00413876">
          <w:footerReference w:type="default" r:id="rId9"/>
          <w:pgSz w:w="11906" w:h="16838"/>
          <w:pgMar w:top="1440" w:right="1800" w:bottom="1440" w:left="1800" w:header="851" w:footer="992" w:gutter="0"/>
          <w:cols w:space="425"/>
          <w:docGrid w:type="lines" w:linePitch="312"/>
        </w:sectPr>
      </w:pPr>
      <w:r>
        <w:rPr>
          <w:rFonts w:ascii="Times New Roman" w:hAnsi="Times New Roman" w:hint="eastAsia"/>
          <w:bCs/>
          <w:sz w:val="32"/>
          <w:szCs w:val="32"/>
        </w:rPr>
        <w:t>二〇二〇</w:t>
      </w:r>
      <w:r>
        <w:rPr>
          <w:rFonts w:ascii="Times New Roman" w:hint="eastAsia"/>
          <w:sz w:val="32"/>
          <w:szCs w:val="32"/>
        </w:rPr>
        <w:t>年</w:t>
      </w:r>
      <w:r>
        <w:rPr>
          <w:rFonts w:ascii="宋体" w:hAnsi="宋体" w:hint="eastAsia"/>
          <w:sz w:val="32"/>
          <w:szCs w:val="32"/>
        </w:rPr>
        <w:t>七</w:t>
      </w:r>
      <w:r>
        <w:rPr>
          <w:rFonts w:ascii="Times New Roman" w:hint="eastAsia"/>
          <w:sz w:val="32"/>
          <w:szCs w:val="32"/>
        </w:rPr>
        <w:t>月</w:t>
      </w:r>
    </w:p>
    <w:p w:rsidR="00413876" w:rsidRDefault="000E6223">
      <w:pPr>
        <w:spacing w:beforeLines="50" w:before="156" w:afterLines="50" w:after="156"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根据中国证券监督管理委员会（以下简称</w:t>
      </w:r>
      <w:r>
        <w:rPr>
          <w:rFonts w:asciiTheme="minorEastAsia" w:eastAsiaTheme="minorEastAsia" w:hAnsiTheme="minorEastAsia"/>
          <w:sz w:val="24"/>
          <w:szCs w:val="24"/>
        </w:rPr>
        <w:t>“</w:t>
      </w:r>
      <w:r>
        <w:rPr>
          <w:rFonts w:ascii="Times New Roman" w:hAnsi="Times New Roman" w:hint="eastAsia"/>
          <w:sz w:val="24"/>
          <w:szCs w:val="24"/>
        </w:rPr>
        <w:t>中国证监会</w:t>
      </w:r>
      <w:r>
        <w:rPr>
          <w:rFonts w:asciiTheme="minorEastAsia" w:eastAsiaTheme="minorEastAsia" w:hAnsiTheme="minorEastAsia"/>
          <w:sz w:val="24"/>
          <w:szCs w:val="24"/>
        </w:rPr>
        <w:t>”</w:t>
      </w:r>
      <w:r>
        <w:rPr>
          <w:rFonts w:ascii="Times New Roman" w:hAnsi="Times New Roman" w:hint="eastAsia"/>
          <w:sz w:val="24"/>
          <w:szCs w:val="24"/>
        </w:rPr>
        <w:t>）《并购重组审核分道制实施方案》、上海证券交易所（以下简称</w:t>
      </w:r>
      <w:r>
        <w:rPr>
          <w:rFonts w:asciiTheme="minorEastAsia" w:eastAsiaTheme="minorEastAsia" w:hAnsiTheme="minorEastAsia"/>
          <w:sz w:val="24"/>
          <w:szCs w:val="24"/>
        </w:rPr>
        <w:t>“</w:t>
      </w:r>
      <w:r>
        <w:rPr>
          <w:rFonts w:ascii="Times New Roman" w:hAnsi="Times New Roman" w:hint="eastAsia"/>
          <w:sz w:val="24"/>
          <w:szCs w:val="24"/>
        </w:rPr>
        <w:t>上交所</w:t>
      </w:r>
      <w:r>
        <w:rPr>
          <w:rFonts w:asciiTheme="minorEastAsia" w:eastAsiaTheme="minorEastAsia" w:hAnsiTheme="minorEastAsia"/>
          <w:sz w:val="24"/>
          <w:szCs w:val="24"/>
        </w:rPr>
        <w:t>”</w:t>
      </w:r>
      <w:r>
        <w:rPr>
          <w:rFonts w:ascii="Times New Roman" w:hAnsi="Times New Roman" w:hint="eastAsia"/>
          <w:sz w:val="24"/>
          <w:szCs w:val="24"/>
        </w:rPr>
        <w:t>）《关于配合做好并购重组审核分道制相关工作的通知》（</w:t>
      </w:r>
      <w:r>
        <w:rPr>
          <w:rFonts w:ascii="Times New Roman" w:hAnsi="Times New Roman"/>
          <w:sz w:val="24"/>
          <w:szCs w:val="24"/>
        </w:rPr>
        <w:t>2013</w:t>
      </w:r>
      <w:r>
        <w:rPr>
          <w:rFonts w:ascii="Times New Roman" w:hAnsi="Times New Roman" w:hint="eastAsia"/>
          <w:sz w:val="24"/>
          <w:szCs w:val="24"/>
        </w:rPr>
        <w:t>年</w:t>
      </w:r>
      <w:r>
        <w:rPr>
          <w:rFonts w:ascii="Times New Roman" w:hAnsi="Times New Roman"/>
          <w:sz w:val="24"/>
          <w:szCs w:val="24"/>
        </w:rPr>
        <w:t>9</w:t>
      </w:r>
      <w:r>
        <w:rPr>
          <w:rFonts w:ascii="Times New Roman" w:hAnsi="Times New Roman" w:hint="eastAsia"/>
          <w:sz w:val="24"/>
          <w:szCs w:val="24"/>
        </w:rPr>
        <w:t>月</w:t>
      </w:r>
      <w:r>
        <w:rPr>
          <w:rFonts w:ascii="Times New Roman" w:hAnsi="Times New Roman"/>
          <w:sz w:val="24"/>
          <w:szCs w:val="24"/>
        </w:rPr>
        <w:t>13</w:t>
      </w:r>
      <w:r>
        <w:rPr>
          <w:rFonts w:ascii="Times New Roman" w:hAnsi="Times New Roman" w:hint="eastAsia"/>
          <w:sz w:val="24"/>
          <w:szCs w:val="24"/>
        </w:rPr>
        <w:t>日发布）等规范性文件要求，中国国际金融股份有限公司（以下简称</w:t>
      </w:r>
      <w:r>
        <w:rPr>
          <w:rFonts w:asciiTheme="minorEastAsia" w:eastAsiaTheme="minorEastAsia" w:hAnsiTheme="minorEastAsia"/>
          <w:sz w:val="24"/>
          <w:szCs w:val="24"/>
        </w:rPr>
        <w:t>“</w:t>
      </w:r>
      <w:r>
        <w:rPr>
          <w:rFonts w:ascii="Times New Roman" w:hAnsi="Times New Roman" w:hint="eastAsia"/>
          <w:sz w:val="24"/>
          <w:szCs w:val="24"/>
        </w:rPr>
        <w:t>独立财务顾问</w:t>
      </w:r>
      <w:r>
        <w:rPr>
          <w:rFonts w:asciiTheme="minorEastAsia" w:eastAsiaTheme="minorEastAsia" w:hAnsiTheme="minorEastAsia"/>
          <w:sz w:val="24"/>
          <w:szCs w:val="24"/>
        </w:rPr>
        <w:t>”</w:t>
      </w:r>
      <w:r>
        <w:rPr>
          <w:rFonts w:ascii="Times New Roman" w:hAnsi="Times New Roman" w:hint="eastAsia"/>
          <w:sz w:val="24"/>
          <w:szCs w:val="24"/>
        </w:rPr>
        <w:t>）作为</w:t>
      </w:r>
      <w:r>
        <w:rPr>
          <w:rFonts w:ascii="Times New Roman" w:hAnsi="Times New Roman" w:hint="eastAsia"/>
          <w:sz w:val="24"/>
        </w:rPr>
        <w:t>大连港股份有限公司</w:t>
      </w:r>
      <w:r>
        <w:rPr>
          <w:rFonts w:ascii="Times New Roman" w:hAnsi="Times New Roman" w:hint="eastAsia"/>
          <w:sz w:val="24"/>
          <w:szCs w:val="24"/>
        </w:rPr>
        <w:t>（以下简称</w:t>
      </w:r>
      <w:r>
        <w:rPr>
          <w:rFonts w:asciiTheme="minorEastAsia" w:eastAsiaTheme="minorEastAsia" w:hAnsiTheme="minorEastAsia"/>
          <w:sz w:val="24"/>
          <w:szCs w:val="24"/>
        </w:rPr>
        <w:t>“</w:t>
      </w:r>
      <w:r>
        <w:rPr>
          <w:rFonts w:ascii="Times New Roman" w:hAnsi="Times New Roman" w:hint="eastAsia"/>
          <w:sz w:val="24"/>
          <w:szCs w:val="24"/>
        </w:rPr>
        <w:t>大连港</w:t>
      </w:r>
      <w:r>
        <w:rPr>
          <w:rFonts w:asciiTheme="minorEastAsia" w:eastAsiaTheme="minorEastAsia" w:hAnsiTheme="minorEastAsia"/>
          <w:sz w:val="24"/>
          <w:szCs w:val="24"/>
        </w:rPr>
        <w:t>”</w:t>
      </w:r>
      <w:r>
        <w:rPr>
          <w:rFonts w:ascii="Times New Roman" w:hAnsi="Times New Roman" w:hint="eastAsia"/>
          <w:sz w:val="24"/>
          <w:szCs w:val="24"/>
        </w:rPr>
        <w:t>）换股吸收合并营口港务股份有限公司（以下简称“营口港”）并募集配套资金暨关联交易（以下简称</w:t>
      </w:r>
      <w:r w:rsidR="0032598C">
        <w:rPr>
          <w:rFonts w:ascii="Times New Roman" w:hAnsi="Times New Roman" w:hint="eastAsia"/>
          <w:kern w:val="0"/>
          <w:sz w:val="24"/>
          <w:szCs w:val="24"/>
        </w:rPr>
        <w:t xml:space="preserve"> </w:t>
      </w:r>
      <w:r>
        <w:rPr>
          <w:rFonts w:asciiTheme="minorEastAsia" w:eastAsiaTheme="minorEastAsia" w:hAnsiTheme="minorEastAsia"/>
          <w:sz w:val="24"/>
          <w:szCs w:val="24"/>
        </w:rPr>
        <w:t>“</w:t>
      </w:r>
      <w:r>
        <w:rPr>
          <w:rFonts w:ascii="Times New Roman" w:hAnsi="Times New Roman" w:hint="eastAsia"/>
          <w:sz w:val="24"/>
          <w:szCs w:val="24"/>
        </w:rPr>
        <w:t>本次重组</w:t>
      </w:r>
      <w:r>
        <w:rPr>
          <w:rFonts w:asciiTheme="minorEastAsia" w:eastAsiaTheme="minorEastAsia" w:hAnsiTheme="minorEastAsia"/>
          <w:sz w:val="24"/>
          <w:szCs w:val="24"/>
        </w:rPr>
        <w:t>”</w:t>
      </w:r>
      <w:r>
        <w:rPr>
          <w:rFonts w:asciiTheme="minorEastAsia" w:eastAsiaTheme="minorEastAsia" w:hAnsiTheme="minorEastAsia" w:hint="eastAsia"/>
          <w:sz w:val="24"/>
          <w:szCs w:val="24"/>
        </w:rPr>
        <w:t>、“本次重大资产重组”或“本次交易”</w:t>
      </w:r>
      <w:r>
        <w:rPr>
          <w:rFonts w:ascii="Times New Roman" w:hAnsi="Times New Roman" w:hint="eastAsia"/>
          <w:sz w:val="24"/>
          <w:szCs w:val="24"/>
        </w:rPr>
        <w:t>）的独立财务顾问，对大连港本次重组是否属于重点支持推进兼并重组的行业、是否属于同行业或上下游并购、是否构成重组上市、是否涉及发行股份、上市公司是否存在被中国证监会立案稽查且尚未结案的情形等事项进行了专项核查，现发表意见如下：</w:t>
      </w:r>
    </w:p>
    <w:p w:rsidR="00413876" w:rsidRDefault="000E6223">
      <w:pPr>
        <w:spacing w:beforeLines="50" w:before="156" w:afterLines="50" w:after="156" w:line="360" w:lineRule="auto"/>
        <w:ind w:firstLineChars="200" w:firstLine="482"/>
        <w:outlineLvl w:val="0"/>
        <w:rPr>
          <w:rFonts w:ascii="Times New Roman" w:hAnsi="Times New Roman"/>
          <w:b/>
          <w:sz w:val="24"/>
          <w:szCs w:val="24"/>
        </w:rPr>
      </w:pPr>
      <w:r>
        <w:rPr>
          <w:rFonts w:ascii="Times New Roman" w:hAnsi="Times New Roman"/>
          <w:b/>
          <w:sz w:val="24"/>
          <w:szCs w:val="24"/>
        </w:rPr>
        <w:t>1</w:t>
      </w:r>
      <w:r>
        <w:rPr>
          <w:rFonts w:ascii="Times New Roman" w:hAnsi="Times New Roman" w:hint="eastAsia"/>
          <w:b/>
          <w:sz w:val="24"/>
          <w:szCs w:val="24"/>
        </w:rPr>
        <w:t>、本次重大资产重组涉及的行业或企业是否属于《国务院关于促进企业兼并重组的意见》和工信部等十二部委《关于加快推进重点行业企业兼并重组的指导意见》确定的</w:t>
      </w:r>
      <w:r>
        <w:rPr>
          <w:rFonts w:ascii="宋体" w:hAnsi="宋体"/>
          <w:b/>
          <w:sz w:val="24"/>
          <w:szCs w:val="24"/>
        </w:rPr>
        <w:t>“</w:t>
      </w:r>
      <w:r>
        <w:rPr>
          <w:rFonts w:ascii="宋体" w:hAnsi="宋体" w:hint="eastAsia"/>
          <w:b/>
          <w:sz w:val="24"/>
          <w:szCs w:val="24"/>
        </w:rPr>
        <w:t>汽车、钢铁、水泥、船舶、电解铝、稀土、电子信息、医药、农业产业化龙头企业</w:t>
      </w:r>
      <w:r>
        <w:rPr>
          <w:rFonts w:ascii="宋体" w:hAnsi="宋体"/>
          <w:b/>
          <w:sz w:val="24"/>
          <w:szCs w:val="24"/>
        </w:rPr>
        <w:t>”</w:t>
      </w:r>
      <w:r>
        <w:rPr>
          <w:rFonts w:ascii="Times New Roman" w:hAnsi="Times New Roman" w:hint="eastAsia"/>
          <w:b/>
          <w:sz w:val="24"/>
          <w:szCs w:val="24"/>
        </w:rPr>
        <w:t>等重点支持推进兼并重组的行业或企业</w:t>
      </w:r>
    </w:p>
    <w:p w:rsidR="00413876" w:rsidRDefault="000E6223">
      <w:pPr>
        <w:snapToGrid w:val="0"/>
        <w:spacing w:beforeLines="50" w:before="156" w:line="360" w:lineRule="auto"/>
        <w:ind w:firstLineChars="200" w:firstLine="480"/>
        <w:rPr>
          <w:rFonts w:ascii="Times New Roman" w:hAnsi="Times New Roman"/>
          <w:sz w:val="24"/>
          <w:szCs w:val="24"/>
        </w:rPr>
      </w:pPr>
      <w:r>
        <w:rPr>
          <w:rFonts w:ascii="Times New Roman" w:hAnsi="Times New Roman" w:hint="eastAsia"/>
          <w:sz w:val="24"/>
          <w:szCs w:val="24"/>
        </w:rPr>
        <w:t>根据本次重组方案，大连港拟</w:t>
      </w:r>
      <w:r w:rsidR="001E6C5D">
        <w:rPr>
          <w:rFonts w:ascii="Times New Roman" w:hAnsi="Times New Roman" w:hint="eastAsia"/>
          <w:sz w:val="24"/>
          <w:szCs w:val="24"/>
        </w:rPr>
        <w:t>通过</w:t>
      </w:r>
      <w:r>
        <w:rPr>
          <w:rFonts w:ascii="Times New Roman" w:hAnsi="Times New Roman" w:hint="eastAsia"/>
          <w:sz w:val="24"/>
          <w:szCs w:val="24"/>
        </w:rPr>
        <w:t>向营口</w:t>
      </w:r>
      <w:proofErr w:type="gramStart"/>
      <w:r>
        <w:rPr>
          <w:rFonts w:ascii="Times New Roman" w:hAnsi="Times New Roman" w:hint="eastAsia"/>
          <w:sz w:val="24"/>
          <w:szCs w:val="24"/>
        </w:rPr>
        <w:t>港全体</w:t>
      </w:r>
      <w:proofErr w:type="gramEnd"/>
      <w:r>
        <w:rPr>
          <w:rFonts w:ascii="Times New Roman" w:hAnsi="Times New Roman" w:hint="eastAsia"/>
          <w:sz w:val="24"/>
          <w:szCs w:val="24"/>
        </w:rPr>
        <w:t>股东发行</w:t>
      </w:r>
      <w:r>
        <w:rPr>
          <w:rFonts w:ascii="Times New Roman" w:hAnsi="Times New Roman" w:hint="eastAsia"/>
          <w:sz w:val="24"/>
          <w:szCs w:val="24"/>
        </w:rPr>
        <w:t>A</w:t>
      </w:r>
      <w:r>
        <w:rPr>
          <w:rFonts w:ascii="Times New Roman" w:hAnsi="Times New Roman" w:hint="eastAsia"/>
          <w:sz w:val="24"/>
          <w:szCs w:val="24"/>
        </w:rPr>
        <w:t>股股份的方式换股吸收合并营口港，同时，拟向不超过</w:t>
      </w:r>
      <w:r>
        <w:rPr>
          <w:rFonts w:ascii="Times New Roman" w:hAnsi="Times New Roman" w:hint="eastAsia"/>
          <w:sz w:val="24"/>
          <w:szCs w:val="24"/>
        </w:rPr>
        <w:t>35</w:t>
      </w:r>
      <w:proofErr w:type="gramStart"/>
      <w:r>
        <w:rPr>
          <w:rFonts w:ascii="Times New Roman" w:hAnsi="Times New Roman" w:hint="eastAsia"/>
          <w:sz w:val="24"/>
          <w:szCs w:val="24"/>
        </w:rPr>
        <w:t>名特定</w:t>
      </w:r>
      <w:proofErr w:type="gramEnd"/>
      <w:r>
        <w:rPr>
          <w:rFonts w:ascii="Times New Roman" w:hAnsi="Times New Roman" w:hint="eastAsia"/>
          <w:sz w:val="24"/>
          <w:szCs w:val="24"/>
        </w:rPr>
        <w:t>投资者非公开发行</w:t>
      </w:r>
      <w:r>
        <w:rPr>
          <w:rFonts w:ascii="Times New Roman" w:hAnsi="Times New Roman" w:hint="eastAsia"/>
          <w:sz w:val="24"/>
          <w:szCs w:val="24"/>
        </w:rPr>
        <w:t>A</w:t>
      </w:r>
      <w:r>
        <w:rPr>
          <w:rFonts w:ascii="Times New Roman" w:hAnsi="Times New Roman" w:hint="eastAsia"/>
          <w:sz w:val="24"/>
          <w:szCs w:val="24"/>
        </w:rPr>
        <w:t>股股份募集配套资金。本次交易完成后，营口港将终止上市并注销法人资格，大连港将承继及承接营口港的全部资产、负债、业务、人员、合同及其他一切权利与义务。</w:t>
      </w:r>
    </w:p>
    <w:p w:rsidR="00413876" w:rsidRDefault="000E6223">
      <w:pPr>
        <w:snapToGrid w:val="0"/>
        <w:spacing w:beforeLines="50" w:before="156" w:line="360" w:lineRule="auto"/>
        <w:ind w:firstLineChars="200" w:firstLine="480"/>
        <w:rPr>
          <w:rFonts w:ascii="Times New Roman" w:hAnsi="Times New Roman"/>
          <w:sz w:val="24"/>
          <w:szCs w:val="24"/>
        </w:rPr>
      </w:pPr>
      <w:r>
        <w:rPr>
          <w:rFonts w:ascii="Times New Roman" w:hAnsi="Times New Roman" w:hint="eastAsia"/>
          <w:sz w:val="24"/>
          <w:szCs w:val="24"/>
        </w:rPr>
        <w:t>根据中国证监会《上市公司行业分类指引》（</w:t>
      </w:r>
      <w:r>
        <w:rPr>
          <w:rFonts w:ascii="Times New Roman" w:hAnsi="Times New Roman"/>
          <w:sz w:val="24"/>
          <w:szCs w:val="24"/>
        </w:rPr>
        <w:t>2012</w:t>
      </w:r>
      <w:r>
        <w:rPr>
          <w:rFonts w:ascii="Times New Roman" w:hAnsi="Times New Roman" w:hint="eastAsia"/>
          <w:sz w:val="24"/>
          <w:szCs w:val="24"/>
        </w:rPr>
        <w:t>年修订），</w:t>
      </w:r>
      <w:proofErr w:type="gramStart"/>
      <w:r>
        <w:rPr>
          <w:rFonts w:ascii="Times New Roman" w:hAnsi="Times New Roman" w:hint="eastAsia"/>
          <w:sz w:val="24"/>
          <w:szCs w:val="24"/>
        </w:rPr>
        <w:t>吸并方</w:t>
      </w:r>
      <w:proofErr w:type="gramEnd"/>
      <w:r>
        <w:rPr>
          <w:rFonts w:ascii="Times New Roman" w:hAnsi="Times New Roman" w:hint="eastAsia"/>
          <w:sz w:val="24"/>
          <w:szCs w:val="24"/>
        </w:rPr>
        <w:t>大连港与被</w:t>
      </w:r>
      <w:proofErr w:type="gramStart"/>
      <w:r>
        <w:rPr>
          <w:rFonts w:ascii="Times New Roman" w:hAnsi="Times New Roman" w:hint="eastAsia"/>
          <w:sz w:val="24"/>
          <w:szCs w:val="24"/>
        </w:rPr>
        <w:t>吸并方</w:t>
      </w:r>
      <w:proofErr w:type="gramEnd"/>
      <w:r>
        <w:rPr>
          <w:rFonts w:ascii="Times New Roman" w:hAnsi="Times New Roman" w:hint="eastAsia"/>
          <w:sz w:val="24"/>
          <w:szCs w:val="24"/>
        </w:rPr>
        <w:t>营口港同属“</w:t>
      </w:r>
      <w:r>
        <w:rPr>
          <w:rFonts w:ascii="Times New Roman" w:hAnsi="Times New Roman"/>
          <w:sz w:val="24"/>
          <w:szCs w:val="24"/>
        </w:rPr>
        <w:t>G55</w:t>
      </w:r>
      <w:r>
        <w:rPr>
          <w:rFonts w:ascii="Times New Roman" w:hAnsi="Times New Roman" w:hint="eastAsia"/>
          <w:sz w:val="24"/>
          <w:szCs w:val="24"/>
        </w:rPr>
        <w:t>水上运输业”，均不属于《国务院关于促进企业兼并重组的意见》和工信部等十二部委《关于加快推进重点行业企业兼并重组的指导意见》确定的“汽车、钢铁、水泥、船舶、电解铝、稀土、电子信息、医药、农业产业化龙头企业”等重点支持推进兼并重组的行业或企业。</w:t>
      </w:r>
    </w:p>
    <w:p w:rsidR="00413876" w:rsidRDefault="000E6223">
      <w:pPr>
        <w:snapToGrid w:val="0"/>
        <w:spacing w:beforeLines="50" w:before="156" w:afterLines="50" w:after="156" w:line="360" w:lineRule="auto"/>
        <w:ind w:firstLineChars="200" w:firstLine="480"/>
        <w:rPr>
          <w:rFonts w:ascii="Times New Roman" w:hAnsi="Times New Roman"/>
          <w:sz w:val="24"/>
          <w:szCs w:val="24"/>
        </w:rPr>
      </w:pPr>
      <w:r>
        <w:rPr>
          <w:rFonts w:ascii="Times New Roman" w:hAnsi="Times New Roman" w:hint="eastAsia"/>
          <w:sz w:val="24"/>
          <w:szCs w:val="24"/>
        </w:rPr>
        <w:t>经核查，</w:t>
      </w:r>
      <w:proofErr w:type="gramStart"/>
      <w:r>
        <w:rPr>
          <w:rFonts w:ascii="Times New Roman" w:hAnsi="Times New Roman" w:hint="eastAsia"/>
          <w:sz w:val="24"/>
          <w:szCs w:val="24"/>
        </w:rPr>
        <w:t>本独立</w:t>
      </w:r>
      <w:proofErr w:type="gramEnd"/>
      <w:r>
        <w:rPr>
          <w:rFonts w:ascii="Times New Roman" w:hAnsi="Times New Roman" w:hint="eastAsia"/>
          <w:sz w:val="24"/>
          <w:szCs w:val="24"/>
        </w:rPr>
        <w:t>财务顾问认为：本次重组涉及的行业或企业均不属于《国务院关于促进企业兼并重组的意见》和工信部等十二部委《关于加快推进重点行业企业兼并重组的指导意见》确定的</w:t>
      </w:r>
      <w:r>
        <w:rPr>
          <w:rFonts w:asciiTheme="minorEastAsia" w:eastAsiaTheme="minorEastAsia" w:hAnsiTheme="minorEastAsia"/>
          <w:sz w:val="24"/>
          <w:szCs w:val="24"/>
        </w:rPr>
        <w:t>“</w:t>
      </w:r>
      <w:r>
        <w:rPr>
          <w:rFonts w:ascii="Times New Roman" w:hAnsi="Times New Roman" w:hint="eastAsia"/>
          <w:sz w:val="24"/>
          <w:szCs w:val="24"/>
        </w:rPr>
        <w:t>汽车、钢铁、水泥、船舶、电解铝、稀土、电子信息、医药、农业产业化龙头企业</w:t>
      </w:r>
      <w:r>
        <w:rPr>
          <w:rFonts w:asciiTheme="minorEastAsia" w:eastAsiaTheme="minorEastAsia" w:hAnsiTheme="minorEastAsia"/>
          <w:sz w:val="24"/>
          <w:szCs w:val="24"/>
        </w:rPr>
        <w:t>”</w:t>
      </w:r>
      <w:r>
        <w:rPr>
          <w:rFonts w:ascii="Times New Roman" w:hAnsi="Times New Roman" w:hint="eastAsia"/>
          <w:sz w:val="24"/>
          <w:szCs w:val="24"/>
        </w:rPr>
        <w:t>等重点支持推进兼并重组的行业或企业。</w:t>
      </w:r>
    </w:p>
    <w:p w:rsidR="00413876" w:rsidRDefault="000E6223">
      <w:pPr>
        <w:spacing w:beforeLines="50" w:before="156" w:afterLines="50" w:after="156" w:line="360" w:lineRule="auto"/>
        <w:ind w:firstLineChars="200" w:firstLine="482"/>
        <w:outlineLvl w:val="0"/>
        <w:rPr>
          <w:rFonts w:ascii="Times New Roman" w:hAnsi="Times New Roman"/>
          <w:b/>
          <w:sz w:val="24"/>
          <w:szCs w:val="24"/>
        </w:rPr>
      </w:pPr>
      <w:r>
        <w:rPr>
          <w:rFonts w:ascii="Times New Roman" w:hAnsi="Times New Roman"/>
          <w:b/>
          <w:sz w:val="24"/>
          <w:szCs w:val="24"/>
        </w:rPr>
        <w:t>2</w:t>
      </w:r>
      <w:r>
        <w:rPr>
          <w:rFonts w:ascii="Times New Roman" w:hAnsi="Times New Roman" w:hint="eastAsia"/>
          <w:b/>
          <w:sz w:val="24"/>
          <w:szCs w:val="24"/>
        </w:rPr>
        <w:t>、本次重大资产重组所涉及的交易类型是否属于同行业或上下游并购，是</w:t>
      </w:r>
      <w:r>
        <w:rPr>
          <w:rFonts w:ascii="Times New Roman" w:hAnsi="Times New Roman" w:hint="eastAsia"/>
          <w:b/>
          <w:sz w:val="24"/>
          <w:szCs w:val="24"/>
        </w:rPr>
        <w:lastRenderedPageBreak/>
        <w:t>否构成重组上市</w:t>
      </w:r>
    </w:p>
    <w:p w:rsidR="00413876" w:rsidRDefault="000E6223">
      <w:pPr>
        <w:autoSpaceDE w:val="0"/>
        <w:autoSpaceDN w:val="0"/>
        <w:adjustRightInd w:val="0"/>
        <w:spacing w:beforeLines="50" w:before="156" w:afterLines="50" w:after="156" w:line="360" w:lineRule="auto"/>
        <w:ind w:firstLineChars="200" w:firstLine="482"/>
        <w:jc w:val="left"/>
        <w:rPr>
          <w:rFonts w:ascii="Times New Roman" w:hAnsi="Times New Roman"/>
          <w:b/>
          <w:color w:val="000000"/>
          <w:kern w:val="0"/>
          <w:sz w:val="24"/>
          <w:szCs w:val="24"/>
        </w:rPr>
      </w:pPr>
      <w:r>
        <w:rPr>
          <w:rFonts w:ascii="Times New Roman" w:hAnsi="Times New Roman" w:hint="eastAsia"/>
          <w:b/>
          <w:color w:val="000000"/>
          <w:kern w:val="0"/>
          <w:sz w:val="24"/>
          <w:szCs w:val="24"/>
        </w:rPr>
        <w:t>（</w:t>
      </w:r>
      <w:r>
        <w:rPr>
          <w:rFonts w:ascii="Times New Roman" w:hAnsi="Times New Roman"/>
          <w:b/>
          <w:bCs/>
          <w:color w:val="000000"/>
          <w:kern w:val="0"/>
          <w:sz w:val="24"/>
          <w:szCs w:val="24"/>
        </w:rPr>
        <w:t>1</w:t>
      </w:r>
      <w:r>
        <w:rPr>
          <w:rFonts w:ascii="Times New Roman" w:hAnsi="Times New Roman" w:hint="eastAsia"/>
          <w:b/>
          <w:color w:val="000000"/>
          <w:kern w:val="0"/>
          <w:sz w:val="24"/>
          <w:szCs w:val="24"/>
        </w:rPr>
        <w:t>）本次重大资产重组所涉及的交易类型是否属于同行业或上下游并购</w:t>
      </w:r>
    </w:p>
    <w:p w:rsidR="00413876" w:rsidRDefault="000E6223">
      <w:pPr>
        <w:adjustRightInd w:val="0"/>
        <w:snapToGrid w:val="0"/>
        <w:spacing w:beforeLines="50" w:before="156" w:after="120" w:line="360" w:lineRule="auto"/>
        <w:ind w:firstLineChars="200" w:firstLine="480"/>
        <w:rPr>
          <w:bCs/>
          <w:kern w:val="0"/>
          <w:sz w:val="24"/>
        </w:rPr>
      </w:pPr>
      <w:r>
        <w:rPr>
          <w:rFonts w:ascii="Times New Roman" w:hAnsi="Times New Roman" w:hint="eastAsia"/>
          <w:sz w:val="24"/>
          <w:szCs w:val="24"/>
        </w:rPr>
        <w:t>本次重组前，大连港主要从事港口相关的装卸、堆存业务及贸易业务。营口港主要从事货物的装卸、堆存、运输服务。</w:t>
      </w:r>
      <w:r>
        <w:rPr>
          <w:rFonts w:ascii="Times New Roman" w:hAnsi="Times New Roman"/>
          <w:sz w:val="24"/>
          <w:szCs w:val="24"/>
        </w:rPr>
        <w:t>根据中国证监会颁布的《上市公司行业分类指引》（</w:t>
      </w:r>
      <w:r>
        <w:rPr>
          <w:rFonts w:ascii="Times New Roman" w:hAnsi="Times New Roman"/>
          <w:sz w:val="24"/>
          <w:szCs w:val="24"/>
        </w:rPr>
        <w:t>2012</w:t>
      </w:r>
      <w:r>
        <w:rPr>
          <w:rFonts w:ascii="Times New Roman" w:hAnsi="Times New Roman"/>
          <w:sz w:val="24"/>
          <w:szCs w:val="24"/>
        </w:rPr>
        <w:t>年修订），</w:t>
      </w:r>
      <w:r>
        <w:rPr>
          <w:rFonts w:ascii="Times New Roman" w:hAnsi="Times New Roman" w:hint="eastAsia"/>
          <w:sz w:val="24"/>
          <w:szCs w:val="24"/>
        </w:rPr>
        <w:t>大连港</w:t>
      </w:r>
      <w:r>
        <w:rPr>
          <w:rFonts w:ascii="Times New Roman" w:hAnsi="Times New Roman"/>
          <w:sz w:val="24"/>
          <w:szCs w:val="24"/>
        </w:rPr>
        <w:t>与营口港同属</w:t>
      </w:r>
      <w:r>
        <w:rPr>
          <w:rFonts w:ascii="Times New Roman" w:hAnsi="Times New Roman" w:hint="eastAsia"/>
          <w:sz w:val="24"/>
          <w:szCs w:val="24"/>
        </w:rPr>
        <w:t>“</w:t>
      </w:r>
      <w:r>
        <w:rPr>
          <w:rFonts w:ascii="Times New Roman" w:hAnsi="Times New Roman"/>
          <w:sz w:val="24"/>
          <w:szCs w:val="24"/>
        </w:rPr>
        <w:t>G55</w:t>
      </w:r>
      <w:r>
        <w:rPr>
          <w:rFonts w:ascii="Times New Roman" w:hAnsi="Times New Roman"/>
          <w:sz w:val="24"/>
          <w:szCs w:val="24"/>
        </w:rPr>
        <w:t>水上运输业</w:t>
      </w:r>
      <w:r>
        <w:rPr>
          <w:rFonts w:ascii="Times New Roman" w:hAnsi="Times New Roman" w:hint="eastAsia"/>
          <w:sz w:val="24"/>
          <w:szCs w:val="24"/>
        </w:rPr>
        <w:t>”</w:t>
      </w:r>
      <w:r>
        <w:rPr>
          <w:rFonts w:hint="eastAsia"/>
          <w:bCs/>
          <w:kern w:val="0"/>
          <w:sz w:val="24"/>
        </w:rPr>
        <w:t>。</w:t>
      </w:r>
    </w:p>
    <w:p w:rsidR="00413876" w:rsidRDefault="000E6223">
      <w:pPr>
        <w:snapToGrid w:val="0"/>
        <w:spacing w:beforeLines="50" w:before="156" w:afterLines="50" w:after="156" w:line="360" w:lineRule="auto"/>
        <w:ind w:firstLineChars="200" w:firstLine="480"/>
        <w:rPr>
          <w:rFonts w:ascii="Times New Roman" w:hAnsi="Times New Roman"/>
          <w:sz w:val="24"/>
          <w:szCs w:val="24"/>
        </w:rPr>
      </w:pPr>
      <w:r>
        <w:rPr>
          <w:rFonts w:ascii="Times New Roman" w:hAnsi="Times New Roman" w:hint="eastAsia"/>
          <w:sz w:val="24"/>
          <w:szCs w:val="24"/>
        </w:rPr>
        <w:t>经核查，</w:t>
      </w:r>
      <w:proofErr w:type="gramStart"/>
      <w:r>
        <w:rPr>
          <w:rFonts w:ascii="Times New Roman" w:hAnsi="Times New Roman" w:hint="eastAsia"/>
          <w:sz w:val="24"/>
          <w:szCs w:val="24"/>
        </w:rPr>
        <w:t>本独立</w:t>
      </w:r>
      <w:proofErr w:type="gramEnd"/>
      <w:r>
        <w:rPr>
          <w:rFonts w:ascii="Times New Roman" w:hAnsi="Times New Roman" w:hint="eastAsia"/>
          <w:sz w:val="24"/>
          <w:szCs w:val="24"/>
        </w:rPr>
        <w:t>财务顾问认为：本次重组所涉及的交易类型属于同行业或上下游并购。</w:t>
      </w:r>
    </w:p>
    <w:p w:rsidR="00413876" w:rsidRDefault="000E6223">
      <w:pPr>
        <w:spacing w:beforeLines="50" w:before="156" w:afterLines="50" w:after="156" w:line="360" w:lineRule="auto"/>
        <w:ind w:firstLineChars="200" w:firstLine="482"/>
        <w:rPr>
          <w:rFonts w:ascii="Times New Roman" w:hAnsi="Times New Roman"/>
          <w:b/>
          <w:sz w:val="24"/>
          <w:szCs w:val="24"/>
        </w:rPr>
      </w:pPr>
      <w:r>
        <w:rPr>
          <w:rFonts w:ascii="Times New Roman" w:hAnsi="Times New Roman" w:hint="eastAsia"/>
          <w:b/>
          <w:sz w:val="24"/>
          <w:szCs w:val="24"/>
        </w:rPr>
        <w:t>（</w:t>
      </w:r>
      <w:r>
        <w:rPr>
          <w:rFonts w:ascii="Times New Roman" w:hAnsi="Times New Roman"/>
          <w:b/>
          <w:bCs/>
          <w:sz w:val="24"/>
          <w:szCs w:val="24"/>
        </w:rPr>
        <w:t>2</w:t>
      </w:r>
      <w:r>
        <w:rPr>
          <w:rFonts w:ascii="Times New Roman" w:hAnsi="Times New Roman" w:hint="eastAsia"/>
          <w:b/>
          <w:sz w:val="24"/>
          <w:szCs w:val="24"/>
        </w:rPr>
        <w:t>）本次重大资产重组是否构成重组上市</w:t>
      </w:r>
    </w:p>
    <w:p w:rsidR="00413876" w:rsidRDefault="000E6223">
      <w:pPr>
        <w:spacing w:line="360" w:lineRule="auto"/>
        <w:ind w:firstLineChars="200" w:firstLine="480"/>
        <w:rPr>
          <w:rFonts w:ascii="Times New Roman" w:hAnsi="Times New Roman"/>
          <w:sz w:val="24"/>
          <w:szCs w:val="24"/>
        </w:rPr>
      </w:pPr>
      <w:r>
        <w:rPr>
          <w:rFonts w:ascii="Times New Roman" w:hAnsi="Times New Roman" w:hint="eastAsia"/>
          <w:sz w:val="24"/>
          <w:szCs w:val="24"/>
        </w:rPr>
        <w:t>本次</w:t>
      </w:r>
      <w:r w:rsidR="00C811DE">
        <w:rPr>
          <w:rFonts w:ascii="Times New Roman" w:hAnsi="Times New Roman" w:hint="eastAsia"/>
          <w:sz w:val="24"/>
          <w:szCs w:val="24"/>
        </w:rPr>
        <w:t>交易</w:t>
      </w:r>
      <w:r>
        <w:rPr>
          <w:rFonts w:ascii="Times New Roman" w:hAnsi="Times New Roman" w:hint="eastAsia"/>
          <w:sz w:val="24"/>
          <w:szCs w:val="24"/>
        </w:rPr>
        <w:t>完成后，营口港作为被吸并方，将退市并注销。</w:t>
      </w:r>
    </w:p>
    <w:p w:rsidR="00413876" w:rsidRDefault="000E6223">
      <w:pPr>
        <w:spacing w:line="360" w:lineRule="auto"/>
        <w:ind w:firstLineChars="200" w:firstLine="480"/>
        <w:rPr>
          <w:rFonts w:ascii="Times New Roman" w:hAnsi="Times New Roman"/>
          <w:sz w:val="24"/>
          <w:szCs w:val="24"/>
        </w:rPr>
      </w:pPr>
      <w:r>
        <w:rPr>
          <w:rFonts w:ascii="Times New Roman" w:hAnsi="Times New Roman" w:hint="eastAsia"/>
          <w:sz w:val="24"/>
          <w:szCs w:val="24"/>
        </w:rPr>
        <w:t>2017</w:t>
      </w:r>
      <w:r>
        <w:rPr>
          <w:rFonts w:ascii="Times New Roman" w:hAnsi="Times New Roman" w:hint="eastAsia"/>
          <w:sz w:val="24"/>
          <w:szCs w:val="24"/>
        </w:rPr>
        <w:t>年</w:t>
      </w:r>
      <w:r>
        <w:rPr>
          <w:rFonts w:ascii="Times New Roman" w:hAnsi="Times New Roman" w:hint="eastAsia"/>
          <w:sz w:val="24"/>
          <w:szCs w:val="24"/>
        </w:rPr>
        <w:t>12</w:t>
      </w:r>
      <w:r>
        <w:rPr>
          <w:rFonts w:ascii="Times New Roman" w:hAnsi="Times New Roman" w:hint="eastAsia"/>
          <w:sz w:val="24"/>
          <w:szCs w:val="24"/>
        </w:rPr>
        <w:t>月</w:t>
      </w:r>
      <w:r>
        <w:rPr>
          <w:rFonts w:ascii="Times New Roman" w:hAnsi="Times New Roman" w:hint="eastAsia"/>
          <w:sz w:val="24"/>
          <w:szCs w:val="24"/>
        </w:rPr>
        <w:t>20</w:t>
      </w:r>
      <w:r>
        <w:rPr>
          <w:rFonts w:ascii="Times New Roman" w:hAnsi="Times New Roman" w:hint="eastAsia"/>
          <w:sz w:val="24"/>
          <w:szCs w:val="24"/>
        </w:rPr>
        <w:t>日，大连市</w:t>
      </w:r>
      <w:r w:rsidR="00F446B5">
        <w:rPr>
          <w:rFonts w:ascii="Times New Roman" w:hAnsi="Times New Roman" w:hint="eastAsia"/>
          <w:sz w:val="24"/>
          <w:szCs w:val="24"/>
        </w:rPr>
        <w:t>人民政府国有资产监督管理委员会（以下简称“大连市国资委”）</w:t>
      </w:r>
      <w:r>
        <w:rPr>
          <w:rFonts w:ascii="Times New Roman" w:hAnsi="Times New Roman" w:hint="eastAsia"/>
          <w:sz w:val="24"/>
          <w:szCs w:val="24"/>
        </w:rPr>
        <w:t>与辽宁东北亚港航发展有限公司（以下简称“港航发展”）签署《大连港集团有限公司股权无偿划转协议》，大连市国资委将其持有的大连港集团</w:t>
      </w:r>
      <w:r w:rsidR="00F446B5">
        <w:rPr>
          <w:rFonts w:ascii="Times New Roman" w:hAnsi="Times New Roman" w:hint="eastAsia"/>
          <w:sz w:val="24"/>
          <w:szCs w:val="24"/>
        </w:rPr>
        <w:t>有限公司</w:t>
      </w:r>
      <w:r>
        <w:rPr>
          <w:rFonts w:ascii="Times New Roman" w:hAnsi="Times New Roman" w:hint="eastAsia"/>
          <w:sz w:val="24"/>
          <w:szCs w:val="24"/>
        </w:rPr>
        <w:t>100%</w:t>
      </w:r>
      <w:r>
        <w:rPr>
          <w:rFonts w:ascii="Times New Roman" w:hAnsi="Times New Roman" w:hint="eastAsia"/>
          <w:sz w:val="24"/>
          <w:szCs w:val="24"/>
        </w:rPr>
        <w:t>股权无偿划转至港航发展，上述无偿划转的股权于</w:t>
      </w:r>
      <w:r>
        <w:rPr>
          <w:rFonts w:ascii="Times New Roman" w:hAnsi="Times New Roman" w:hint="eastAsia"/>
          <w:sz w:val="24"/>
          <w:szCs w:val="24"/>
        </w:rPr>
        <w:t>2018</w:t>
      </w:r>
      <w:r>
        <w:rPr>
          <w:rFonts w:ascii="Times New Roman" w:hAnsi="Times New Roman" w:hint="eastAsia"/>
          <w:sz w:val="24"/>
          <w:szCs w:val="24"/>
        </w:rPr>
        <w:t>年</w:t>
      </w:r>
      <w:r>
        <w:rPr>
          <w:rFonts w:ascii="Times New Roman" w:hAnsi="Times New Roman" w:hint="eastAsia"/>
          <w:sz w:val="24"/>
          <w:szCs w:val="24"/>
        </w:rPr>
        <w:t>2</w:t>
      </w:r>
      <w:r>
        <w:rPr>
          <w:rFonts w:ascii="Times New Roman" w:hAnsi="Times New Roman" w:hint="eastAsia"/>
          <w:sz w:val="24"/>
          <w:szCs w:val="24"/>
        </w:rPr>
        <w:t>月</w:t>
      </w:r>
      <w:r>
        <w:rPr>
          <w:rFonts w:ascii="Times New Roman" w:hAnsi="Times New Roman" w:hint="eastAsia"/>
          <w:sz w:val="24"/>
          <w:szCs w:val="24"/>
        </w:rPr>
        <w:t>9</w:t>
      </w:r>
      <w:r>
        <w:rPr>
          <w:rFonts w:ascii="Times New Roman" w:hAnsi="Times New Roman" w:hint="eastAsia"/>
          <w:sz w:val="24"/>
          <w:szCs w:val="24"/>
        </w:rPr>
        <w:t>日完成工商变更登记。上述无偿划转完成后，港航发展成为</w:t>
      </w:r>
      <w:r w:rsidR="00F446B5">
        <w:rPr>
          <w:rFonts w:ascii="Times New Roman" w:hAnsi="Times New Roman" w:hint="eastAsia"/>
          <w:sz w:val="24"/>
          <w:szCs w:val="24"/>
        </w:rPr>
        <w:t>大连港</w:t>
      </w:r>
      <w:r>
        <w:rPr>
          <w:rFonts w:ascii="Times New Roman" w:hAnsi="Times New Roman" w:hint="eastAsia"/>
          <w:sz w:val="24"/>
          <w:szCs w:val="24"/>
        </w:rPr>
        <w:t>的间接控股股东，</w:t>
      </w:r>
      <w:r w:rsidR="00F446B5">
        <w:rPr>
          <w:rFonts w:ascii="Times New Roman" w:hAnsi="Times New Roman" w:hint="eastAsia"/>
          <w:sz w:val="24"/>
          <w:szCs w:val="24"/>
        </w:rPr>
        <w:t>大连港</w:t>
      </w:r>
      <w:r>
        <w:rPr>
          <w:rFonts w:ascii="Times New Roman" w:hAnsi="Times New Roman" w:hint="eastAsia"/>
          <w:sz w:val="24"/>
          <w:szCs w:val="24"/>
        </w:rPr>
        <w:t>的实际控制人由大连市国资委变更为</w:t>
      </w:r>
      <w:r w:rsidR="00F446B5" w:rsidRPr="00F446B5">
        <w:rPr>
          <w:rFonts w:ascii="Times New Roman" w:hAnsi="Times New Roman" w:hint="eastAsia"/>
          <w:sz w:val="24"/>
          <w:szCs w:val="24"/>
        </w:rPr>
        <w:t>辽宁省人民政府国有资产监督管理委员会（以下简称“辽宁省国资委”）</w:t>
      </w:r>
      <w:r>
        <w:rPr>
          <w:rFonts w:ascii="Times New Roman" w:hAnsi="Times New Roman" w:hint="eastAsia"/>
          <w:sz w:val="24"/>
          <w:szCs w:val="24"/>
        </w:rPr>
        <w:t>。</w:t>
      </w:r>
    </w:p>
    <w:p w:rsidR="00413876" w:rsidRDefault="000E6223">
      <w:pPr>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018</w:t>
      </w:r>
      <w:r>
        <w:rPr>
          <w:rFonts w:ascii="Times New Roman" w:hAnsi="Times New Roman" w:hint="eastAsia"/>
          <w:sz w:val="24"/>
          <w:szCs w:val="24"/>
        </w:rPr>
        <w:t>年</w:t>
      </w:r>
      <w:r>
        <w:rPr>
          <w:rFonts w:ascii="Times New Roman" w:hAnsi="Times New Roman" w:hint="eastAsia"/>
          <w:sz w:val="24"/>
          <w:szCs w:val="24"/>
        </w:rPr>
        <w:t>1</w:t>
      </w:r>
      <w:r>
        <w:rPr>
          <w:rFonts w:ascii="Times New Roman" w:hAnsi="Times New Roman"/>
          <w:sz w:val="24"/>
          <w:szCs w:val="24"/>
        </w:rPr>
        <w:t>1</w:t>
      </w:r>
      <w:r>
        <w:rPr>
          <w:rFonts w:ascii="Times New Roman" w:hAnsi="Times New Roman" w:hint="eastAsia"/>
          <w:sz w:val="24"/>
          <w:szCs w:val="24"/>
        </w:rPr>
        <w:t>月</w:t>
      </w:r>
      <w:r>
        <w:rPr>
          <w:rFonts w:ascii="Times New Roman" w:hAnsi="Times New Roman" w:hint="eastAsia"/>
          <w:sz w:val="24"/>
          <w:szCs w:val="24"/>
        </w:rPr>
        <w:t>3</w:t>
      </w:r>
      <w:r>
        <w:rPr>
          <w:rFonts w:ascii="Times New Roman" w:hAnsi="Times New Roman" w:hint="eastAsia"/>
          <w:sz w:val="24"/>
          <w:szCs w:val="24"/>
        </w:rPr>
        <w:t>日，辽宁省国资委、大连市国资委、营口市人民</w:t>
      </w:r>
      <w:r>
        <w:rPr>
          <w:rFonts w:ascii="Times New Roman" w:hAnsi="Times New Roman"/>
          <w:sz w:val="24"/>
          <w:szCs w:val="24"/>
        </w:rPr>
        <w:t>政府国有资产监督管理委员会</w:t>
      </w:r>
      <w:r>
        <w:rPr>
          <w:rFonts w:ascii="Times New Roman" w:hAnsi="Times New Roman" w:hint="eastAsia"/>
          <w:sz w:val="24"/>
          <w:szCs w:val="24"/>
        </w:rPr>
        <w:t>、港航发展和招商局（辽宁）港口发展有限公司（以下简称</w:t>
      </w:r>
      <w:r>
        <w:rPr>
          <w:rFonts w:ascii="宋体" w:hAnsi="宋体" w:hint="eastAsia"/>
          <w:sz w:val="24"/>
          <w:szCs w:val="24"/>
        </w:rPr>
        <w:t>“</w:t>
      </w:r>
      <w:r>
        <w:rPr>
          <w:rFonts w:ascii="宋体" w:hAnsi="宋体"/>
          <w:sz w:val="24"/>
          <w:szCs w:val="24"/>
        </w:rPr>
        <w:t>招商局辽宁”）</w:t>
      </w:r>
      <w:r>
        <w:rPr>
          <w:rFonts w:ascii="宋体" w:hAnsi="宋体" w:hint="eastAsia"/>
          <w:sz w:val="24"/>
          <w:szCs w:val="24"/>
        </w:rPr>
        <w:t>签署《关于辽宁东北亚港航发展有限公司之增资协议》，招商局</w:t>
      </w:r>
      <w:r>
        <w:rPr>
          <w:rFonts w:ascii="Times New Roman" w:hAnsi="Times New Roman" w:hint="eastAsia"/>
          <w:sz w:val="24"/>
          <w:szCs w:val="24"/>
        </w:rPr>
        <w:t>辽宁以现金认购港航发展新增注册资本人民币</w:t>
      </w:r>
      <w:r>
        <w:rPr>
          <w:rFonts w:ascii="Times New Roman" w:hAnsi="Times New Roman"/>
          <w:sz w:val="24"/>
          <w:szCs w:val="24"/>
        </w:rPr>
        <w:t xml:space="preserve"> 99,600,798.40 </w:t>
      </w:r>
      <w:r>
        <w:rPr>
          <w:rFonts w:ascii="Times New Roman" w:hAnsi="Times New Roman"/>
          <w:sz w:val="24"/>
          <w:szCs w:val="24"/>
        </w:rPr>
        <w:t>元。</w:t>
      </w:r>
      <w:r>
        <w:rPr>
          <w:rFonts w:ascii="Times New Roman" w:hAnsi="Times New Roman" w:hint="eastAsia"/>
          <w:sz w:val="24"/>
          <w:szCs w:val="24"/>
        </w:rPr>
        <w:t>上述增资于</w:t>
      </w:r>
      <w:r>
        <w:rPr>
          <w:rFonts w:ascii="Times New Roman" w:hAnsi="Times New Roman" w:hint="eastAsia"/>
          <w:sz w:val="24"/>
          <w:szCs w:val="24"/>
        </w:rPr>
        <w:t>2</w:t>
      </w:r>
      <w:r>
        <w:rPr>
          <w:rFonts w:ascii="Times New Roman" w:hAnsi="Times New Roman"/>
          <w:sz w:val="24"/>
          <w:szCs w:val="24"/>
        </w:rPr>
        <w:t>018</w:t>
      </w:r>
      <w:r>
        <w:rPr>
          <w:rFonts w:ascii="Times New Roman" w:hAnsi="Times New Roman" w:hint="eastAsia"/>
          <w:sz w:val="24"/>
          <w:szCs w:val="24"/>
        </w:rPr>
        <w:t>年</w:t>
      </w:r>
      <w:r>
        <w:rPr>
          <w:rFonts w:ascii="Times New Roman" w:hAnsi="Times New Roman" w:hint="eastAsia"/>
          <w:sz w:val="24"/>
          <w:szCs w:val="24"/>
        </w:rPr>
        <w:t>1</w:t>
      </w:r>
      <w:r>
        <w:rPr>
          <w:rFonts w:ascii="Times New Roman" w:hAnsi="Times New Roman"/>
          <w:sz w:val="24"/>
          <w:szCs w:val="24"/>
        </w:rPr>
        <w:t>1</w:t>
      </w:r>
      <w:r>
        <w:rPr>
          <w:rFonts w:ascii="Times New Roman" w:hAnsi="Times New Roman" w:hint="eastAsia"/>
          <w:sz w:val="24"/>
          <w:szCs w:val="24"/>
        </w:rPr>
        <w:t>月</w:t>
      </w:r>
      <w:r>
        <w:rPr>
          <w:rFonts w:ascii="Times New Roman" w:hAnsi="Times New Roman" w:hint="eastAsia"/>
          <w:sz w:val="24"/>
          <w:szCs w:val="24"/>
        </w:rPr>
        <w:t>2</w:t>
      </w:r>
      <w:r>
        <w:rPr>
          <w:rFonts w:ascii="Times New Roman" w:hAnsi="Times New Roman"/>
          <w:sz w:val="24"/>
          <w:szCs w:val="24"/>
        </w:rPr>
        <w:t>9</w:t>
      </w:r>
      <w:r>
        <w:rPr>
          <w:rFonts w:ascii="Times New Roman" w:hAnsi="Times New Roman" w:hint="eastAsia"/>
          <w:sz w:val="24"/>
          <w:szCs w:val="24"/>
        </w:rPr>
        <w:t>日</w:t>
      </w:r>
      <w:r>
        <w:rPr>
          <w:rFonts w:ascii="Times New Roman" w:hAnsi="Times New Roman"/>
          <w:sz w:val="24"/>
          <w:szCs w:val="24"/>
        </w:rPr>
        <w:t>完成工商变更登记</w:t>
      </w:r>
      <w:r>
        <w:rPr>
          <w:rFonts w:ascii="Times New Roman" w:hAnsi="Times New Roman" w:hint="eastAsia"/>
          <w:sz w:val="24"/>
          <w:szCs w:val="24"/>
        </w:rPr>
        <w:t>，港航发展的注册资本增至人民币</w:t>
      </w:r>
      <w:r>
        <w:rPr>
          <w:rFonts w:ascii="Times New Roman" w:hAnsi="Times New Roman"/>
          <w:sz w:val="24"/>
          <w:szCs w:val="24"/>
        </w:rPr>
        <w:t xml:space="preserve"> 199,600,798.40 </w:t>
      </w:r>
      <w:r>
        <w:rPr>
          <w:rFonts w:ascii="Times New Roman" w:hAnsi="Times New Roman"/>
          <w:sz w:val="24"/>
          <w:szCs w:val="24"/>
        </w:rPr>
        <w:t>元</w:t>
      </w:r>
      <w:r>
        <w:rPr>
          <w:rFonts w:ascii="Times New Roman" w:hAnsi="Times New Roman" w:hint="eastAsia"/>
          <w:sz w:val="24"/>
          <w:szCs w:val="24"/>
        </w:rPr>
        <w:t>，</w:t>
      </w:r>
      <w:r>
        <w:rPr>
          <w:rFonts w:ascii="Times New Roman" w:hAnsi="Times New Roman"/>
          <w:sz w:val="24"/>
          <w:szCs w:val="24"/>
        </w:rPr>
        <w:t>辽宁省国资委持有港航发展</w:t>
      </w:r>
      <w:r>
        <w:rPr>
          <w:rFonts w:ascii="Times New Roman" w:hAnsi="Times New Roman"/>
          <w:sz w:val="24"/>
          <w:szCs w:val="24"/>
        </w:rPr>
        <w:t xml:space="preserve"> 50.10%</w:t>
      </w:r>
      <w:r>
        <w:rPr>
          <w:rFonts w:ascii="Times New Roman" w:hAnsi="Times New Roman"/>
          <w:sz w:val="24"/>
          <w:szCs w:val="24"/>
        </w:rPr>
        <w:t>股权，招商局辽宁持有港航发展</w:t>
      </w:r>
      <w:r>
        <w:rPr>
          <w:rFonts w:ascii="Times New Roman" w:hAnsi="Times New Roman"/>
          <w:sz w:val="24"/>
          <w:szCs w:val="24"/>
        </w:rPr>
        <w:t xml:space="preserve"> 49.90%</w:t>
      </w:r>
      <w:r>
        <w:rPr>
          <w:rFonts w:ascii="Times New Roman" w:hAnsi="Times New Roman"/>
          <w:sz w:val="24"/>
          <w:szCs w:val="24"/>
        </w:rPr>
        <w:t>股权</w:t>
      </w:r>
      <w:r>
        <w:rPr>
          <w:rFonts w:ascii="Times New Roman" w:hAnsi="Times New Roman" w:hint="eastAsia"/>
          <w:sz w:val="24"/>
          <w:szCs w:val="24"/>
        </w:rPr>
        <w:t>。同日，港航发展完成更名为“辽宁港口集团有限公司”（以下简称“辽港集团”）的工商变更登记。</w:t>
      </w:r>
    </w:p>
    <w:p w:rsidR="00413876" w:rsidRDefault="000E6223">
      <w:pPr>
        <w:spacing w:line="360" w:lineRule="auto"/>
        <w:ind w:firstLineChars="200" w:firstLine="480"/>
        <w:rPr>
          <w:rFonts w:ascii="Times New Roman" w:hAnsi="Times New Roman"/>
          <w:sz w:val="24"/>
          <w:szCs w:val="24"/>
        </w:rPr>
      </w:pPr>
      <w:r>
        <w:rPr>
          <w:rFonts w:ascii="Times New Roman" w:hAnsi="Times New Roman" w:hint="eastAsia"/>
          <w:sz w:val="24"/>
          <w:szCs w:val="24"/>
        </w:rPr>
        <w:t>2019</w:t>
      </w:r>
      <w:r>
        <w:rPr>
          <w:rFonts w:ascii="Times New Roman" w:hAnsi="Times New Roman" w:hint="eastAsia"/>
          <w:sz w:val="24"/>
          <w:szCs w:val="24"/>
        </w:rPr>
        <w:t>年</w:t>
      </w:r>
      <w:r>
        <w:rPr>
          <w:rFonts w:ascii="Times New Roman" w:hAnsi="Times New Roman" w:hint="eastAsia"/>
          <w:sz w:val="24"/>
          <w:szCs w:val="24"/>
        </w:rPr>
        <w:t>5</w:t>
      </w:r>
      <w:r>
        <w:rPr>
          <w:rFonts w:ascii="Times New Roman" w:hAnsi="Times New Roman" w:hint="eastAsia"/>
          <w:sz w:val="24"/>
          <w:szCs w:val="24"/>
        </w:rPr>
        <w:t>月</w:t>
      </w:r>
      <w:r>
        <w:rPr>
          <w:rFonts w:ascii="Times New Roman" w:hAnsi="Times New Roman" w:hint="eastAsia"/>
          <w:sz w:val="24"/>
          <w:szCs w:val="24"/>
        </w:rPr>
        <w:t>31</w:t>
      </w:r>
      <w:r>
        <w:rPr>
          <w:rFonts w:ascii="Times New Roman" w:hAnsi="Times New Roman" w:hint="eastAsia"/>
          <w:sz w:val="24"/>
          <w:szCs w:val="24"/>
        </w:rPr>
        <w:t>日，辽宁省国资委与招商局辽宁签署《关于辽宁港口集团有限公司之股权无偿划转协议》，辽宁省国资委将其持有</w:t>
      </w:r>
      <w:proofErr w:type="gramStart"/>
      <w:r>
        <w:rPr>
          <w:rFonts w:ascii="Times New Roman" w:hAnsi="Times New Roman" w:hint="eastAsia"/>
          <w:sz w:val="24"/>
          <w:szCs w:val="24"/>
        </w:rPr>
        <w:t>的辽港集团</w:t>
      </w:r>
      <w:proofErr w:type="gramEnd"/>
      <w:r>
        <w:rPr>
          <w:rFonts w:ascii="Times New Roman" w:hAnsi="Times New Roman" w:hint="eastAsia"/>
          <w:sz w:val="24"/>
          <w:szCs w:val="24"/>
        </w:rPr>
        <w:t>1.1</w:t>
      </w:r>
      <w:r>
        <w:rPr>
          <w:rFonts w:ascii="Times New Roman" w:hAnsi="Times New Roman"/>
          <w:sz w:val="24"/>
          <w:szCs w:val="24"/>
        </w:rPr>
        <w:t>0</w:t>
      </w:r>
      <w:r>
        <w:rPr>
          <w:rFonts w:ascii="Times New Roman" w:hAnsi="Times New Roman" w:hint="eastAsia"/>
          <w:sz w:val="24"/>
          <w:szCs w:val="24"/>
        </w:rPr>
        <w:t>%</w:t>
      </w:r>
      <w:r>
        <w:rPr>
          <w:rFonts w:ascii="Times New Roman" w:hAnsi="Times New Roman" w:hint="eastAsia"/>
          <w:sz w:val="24"/>
          <w:szCs w:val="24"/>
        </w:rPr>
        <w:t>的股权无偿划转给招商局辽宁，上述无偿划转的股权于</w:t>
      </w:r>
      <w:r>
        <w:rPr>
          <w:rFonts w:ascii="Times New Roman" w:hAnsi="Times New Roman" w:hint="eastAsia"/>
          <w:sz w:val="24"/>
          <w:szCs w:val="24"/>
        </w:rPr>
        <w:t>2019</w:t>
      </w:r>
      <w:r>
        <w:rPr>
          <w:rFonts w:ascii="Times New Roman" w:hAnsi="Times New Roman" w:hint="eastAsia"/>
          <w:sz w:val="24"/>
          <w:szCs w:val="24"/>
        </w:rPr>
        <w:t>年</w:t>
      </w:r>
      <w:r>
        <w:rPr>
          <w:rFonts w:ascii="Times New Roman" w:hAnsi="Times New Roman" w:hint="eastAsia"/>
          <w:sz w:val="24"/>
          <w:szCs w:val="24"/>
        </w:rPr>
        <w:t>9</w:t>
      </w:r>
      <w:r>
        <w:rPr>
          <w:rFonts w:ascii="Times New Roman" w:hAnsi="Times New Roman" w:hint="eastAsia"/>
          <w:sz w:val="24"/>
          <w:szCs w:val="24"/>
        </w:rPr>
        <w:t>月</w:t>
      </w:r>
      <w:r>
        <w:rPr>
          <w:rFonts w:ascii="Times New Roman" w:hAnsi="Times New Roman" w:hint="eastAsia"/>
          <w:sz w:val="24"/>
          <w:szCs w:val="24"/>
        </w:rPr>
        <w:t>30</w:t>
      </w:r>
      <w:r>
        <w:rPr>
          <w:rFonts w:ascii="Times New Roman" w:hAnsi="Times New Roman" w:hint="eastAsia"/>
          <w:sz w:val="24"/>
          <w:szCs w:val="24"/>
        </w:rPr>
        <w:t>日完成工商变更登记，上述无偿划转完成后，</w:t>
      </w:r>
      <w:r w:rsidR="00C85F2C">
        <w:rPr>
          <w:rFonts w:ascii="Times New Roman" w:hAnsi="Times New Roman" w:hint="eastAsia"/>
          <w:sz w:val="24"/>
          <w:szCs w:val="24"/>
        </w:rPr>
        <w:t>招商局</w:t>
      </w:r>
      <w:r w:rsidR="00C85F2C">
        <w:rPr>
          <w:rFonts w:ascii="Times New Roman" w:hAnsi="Times New Roman"/>
          <w:sz w:val="24"/>
          <w:szCs w:val="24"/>
        </w:rPr>
        <w:t>辽宁持有辽港集团</w:t>
      </w:r>
      <w:r w:rsidR="00C85F2C">
        <w:rPr>
          <w:rFonts w:ascii="Times New Roman" w:hAnsi="Times New Roman" w:hint="eastAsia"/>
          <w:sz w:val="24"/>
          <w:szCs w:val="24"/>
        </w:rPr>
        <w:t>51</w:t>
      </w:r>
      <w:r w:rsidR="00C85F2C">
        <w:rPr>
          <w:rFonts w:ascii="Times New Roman" w:hAnsi="Times New Roman"/>
          <w:sz w:val="24"/>
          <w:szCs w:val="24"/>
        </w:rPr>
        <w:t>%</w:t>
      </w:r>
      <w:r w:rsidR="00C85F2C">
        <w:rPr>
          <w:rFonts w:ascii="Times New Roman" w:hAnsi="Times New Roman"/>
          <w:sz w:val="24"/>
          <w:szCs w:val="24"/>
        </w:rPr>
        <w:t>股权，</w:t>
      </w:r>
      <w:r>
        <w:rPr>
          <w:rFonts w:ascii="Times New Roman" w:hAnsi="Times New Roman" w:hint="eastAsia"/>
          <w:sz w:val="24"/>
          <w:szCs w:val="24"/>
        </w:rPr>
        <w:t>大连港的实际</w:t>
      </w:r>
      <w:r>
        <w:rPr>
          <w:rFonts w:ascii="Times New Roman" w:hAnsi="Times New Roman" w:hint="eastAsia"/>
          <w:sz w:val="24"/>
          <w:szCs w:val="24"/>
        </w:rPr>
        <w:lastRenderedPageBreak/>
        <w:t>控制人由辽宁省国资委变更为招商局集团有限公司（以下简称“招商局集团”）。</w:t>
      </w:r>
    </w:p>
    <w:p w:rsidR="00413876" w:rsidRDefault="00F446B5">
      <w:pPr>
        <w:spacing w:line="360" w:lineRule="auto"/>
        <w:ind w:firstLineChars="200" w:firstLine="480"/>
        <w:rPr>
          <w:rFonts w:ascii="Times New Roman" w:hAnsi="Times New Roman"/>
          <w:sz w:val="24"/>
          <w:szCs w:val="24"/>
        </w:rPr>
      </w:pPr>
      <w:r>
        <w:rPr>
          <w:rFonts w:ascii="Times New Roman" w:hAnsi="Times New Roman" w:hint="eastAsia"/>
          <w:sz w:val="24"/>
          <w:szCs w:val="24"/>
        </w:rPr>
        <w:t>大连港</w:t>
      </w:r>
      <w:r w:rsidR="000E6223">
        <w:rPr>
          <w:rFonts w:ascii="Times New Roman" w:hAnsi="Times New Roman" w:hint="eastAsia"/>
          <w:sz w:val="24"/>
          <w:szCs w:val="24"/>
        </w:rPr>
        <w:t>的实际控制人于</w:t>
      </w:r>
      <w:r w:rsidR="000E6223">
        <w:rPr>
          <w:rFonts w:ascii="Times New Roman" w:hAnsi="Times New Roman" w:hint="eastAsia"/>
          <w:sz w:val="24"/>
          <w:szCs w:val="24"/>
        </w:rPr>
        <w:t>2019</w:t>
      </w:r>
      <w:r w:rsidR="000E6223">
        <w:rPr>
          <w:rFonts w:ascii="Times New Roman" w:hAnsi="Times New Roman" w:hint="eastAsia"/>
          <w:sz w:val="24"/>
          <w:szCs w:val="24"/>
        </w:rPr>
        <w:t>年</w:t>
      </w:r>
      <w:r w:rsidR="000E6223">
        <w:rPr>
          <w:rFonts w:ascii="Times New Roman" w:hAnsi="Times New Roman" w:hint="eastAsia"/>
          <w:sz w:val="24"/>
          <w:szCs w:val="24"/>
        </w:rPr>
        <w:t>9</w:t>
      </w:r>
      <w:r w:rsidR="000E6223">
        <w:rPr>
          <w:rFonts w:ascii="Times New Roman" w:hAnsi="Times New Roman" w:hint="eastAsia"/>
          <w:sz w:val="24"/>
          <w:szCs w:val="24"/>
        </w:rPr>
        <w:t>月</w:t>
      </w:r>
      <w:r w:rsidR="000E6223">
        <w:rPr>
          <w:rFonts w:ascii="Times New Roman" w:hAnsi="Times New Roman" w:hint="eastAsia"/>
          <w:sz w:val="24"/>
          <w:szCs w:val="24"/>
        </w:rPr>
        <w:t>30</w:t>
      </w:r>
      <w:r w:rsidR="000E6223">
        <w:rPr>
          <w:rFonts w:ascii="Times New Roman" w:hAnsi="Times New Roman" w:hint="eastAsia"/>
          <w:sz w:val="24"/>
          <w:szCs w:val="24"/>
        </w:rPr>
        <w:t>日变更为招商局集团，本次</w:t>
      </w:r>
      <w:r w:rsidR="00C811DE">
        <w:rPr>
          <w:rFonts w:ascii="Times New Roman" w:hAnsi="Times New Roman" w:hint="eastAsia"/>
          <w:sz w:val="24"/>
          <w:szCs w:val="24"/>
        </w:rPr>
        <w:t>交易</w:t>
      </w:r>
      <w:r w:rsidR="000E6223">
        <w:rPr>
          <w:rFonts w:ascii="Times New Roman" w:hAnsi="Times New Roman" w:hint="eastAsia"/>
          <w:sz w:val="24"/>
          <w:szCs w:val="24"/>
        </w:rPr>
        <w:t>的被</w:t>
      </w:r>
      <w:proofErr w:type="gramStart"/>
      <w:r w:rsidR="000E6223">
        <w:rPr>
          <w:rFonts w:ascii="Times New Roman" w:hAnsi="Times New Roman" w:hint="eastAsia"/>
          <w:sz w:val="24"/>
          <w:szCs w:val="24"/>
        </w:rPr>
        <w:t>吸并方</w:t>
      </w:r>
      <w:proofErr w:type="gramEnd"/>
      <w:r w:rsidR="000E6223">
        <w:rPr>
          <w:rFonts w:ascii="Times New Roman" w:hAnsi="Times New Roman" w:hint="eastAsia"/>
          <w:sz w:val="24"/>
          <w:szCs w:val="24"/>
        </w:rPr>
        <w:t>营口港为招商局集团控制的上市公司，因此，根据《上市公司重大资产重组管理办法》第十三条的规定，本次交易构成</w:t>
      </w:r>
      <w:r>
        <w:rPr>
          <w:rFonts w:ascii="Times New Roman" w:hAnsi="Times New Roman" w:hint="eastAsia"/>
          <w:sz w:val="24"/>
          <w:szCs w:val="24"/>
        </w:rPr>
        <w:t>大连港</w:t>
      </w:r>
      <w:r w:rsidR="000E6223">
        <w:rPr>
          <w:rFonts w:ascii="Times New Roman" w:hAnsi="Times New Roman" w:hint="eastAsia"/>
          <w:sz w:val="24"/>
          <w:szCs w:val="24"/>
        </w:rPr>
        <w:t>自控制权发生变更之日起</w:t>
      </w:r>
      <w:r w:rsidR="000E6223">
        <w:rPr>
          <w:rFonts w:ascii="Times New Roman" w:hAnsi="Times New Roman" w:hint="eastAsia"/>
          <w:sz w:val="24"/>
          <w:szCs w:val="24"/>
        </w:rPr>
        <w:t>36</w:t>
      </w:r>
      <w:r w:rsidR="000E6223">
        <w:rPr>
          <w:rFonts w:ascii="Times New Roman" w:hAnsi="Times New Roman" w:hint="eastAsia"/>
          <w:sz w:val="24"/>
          <w:szCs w:val="24"/>
        </w:rPr>
        <w:t>个月内向收购人及其关联人购买资产。</w:t>
      </w:r>
    </w:p>
    <w:p w:rsidR="00413876" w:rsidRDefault="000E6223">
      <w:pPr>
        <w:spacing w:line="360" w:lineRule="auto"/>
        <w:ind w:firstLineChars="200" w:firstLine="480"/>
        <w:rPr>
          <w:rFonts w:ascii="Times New Roman" w:hAnsi="Times New Roman"/>
          <w:sz w:val="24"/>
          <w:szCs w:val="24"/>
        </w:rPr>
      </w:pPr>
      <w:r>
        <w:rPr>
          <w:rFonts w:ascii="Times New Roman" w:hAnsi="Times New Roman" w:hint="eastAsia"/>
          <w:sz w:val="24"/>
          <w:szCs w:val="24"/>
        </w:rPr>
        <w:t>营口港</w:t>
      </w:r>
      <w:r>
        <w:rPr>
          <w:rFonts w:ascii="Times New Roman" w:hAnsi="Times New Roman" w:hint="eastAsia"/>
          <w:sz w:val="24"/>
          <w:szCs w:val="24"/>
        </w:rPr>
        <w:t>2019</w:t>
      </w:r>
      <w:r>
        <w:rPr>
          <w:rFonts w:ascii="Times New Roman" w:hAnsi="Times New Roman" w:hint="eastAsia"/>
          <w:sz w:val="24"/>
          <w:szCs w:val="24"/>
        </w:rPr>
        <w:t>年</w:t>
      </w:r>
      <w:proofErr w:type="gramStart"/>
      <w:r>
        <w:rPr>
          <w:rFonts w:ascii="Times New Roman" w:hAnsi="Times New Roman" w:hint="eastAsia"/>
          <w:sz w:val="24"/>
          <w:szCs w:val="24"/>
        </w:rPr>
        <w:t>末经</w:t>
      </w:r>
      <w:proofErr w:type="gramEnd"/>
      <w:r>
        <w:rPr>
          <w:rFonts w:ascii="Times New Roman" w:hAnsi="Times New Roman" w:hint="eastAsia"/>
          <w:sz w:val="24"/>
          <w:szCs w:val="24"/>
        </w:rPr>
        <w:t>审计的合并财务会计报告资产总额为</w:t>
      </w:r>
      <w:r>
        <w:rPr>
          <w:rFonts w:ascii="Times New Roman" w:hAnsi="Times New Roman" w:hint="eastAsia"/>
          <w:sz w:val="24"/>
          <w:szCs w:val="24"/>
        </w:rPr>
        <w:t>1,522,031.71</w:t>
      </w:r>
      <w:r>
        <w:rPr>
          <w:rFonts w:ascii="Times New Roman" w:hAnsi="Times New Roman" w:hint="eastAsia"/>
          <w:sz w:val="24"/>
          <w:szCs w:val="24"/>
        </w:rPr>
        <w:t>万元、</w:t>
      </w:r>
      <w:r w:rsidR="00F446B5">
        <w:rPr>
          <w:rFonts w:ascii="Times New Roman" w:hAnsi="Times New Roman"/>
          <w:sz w:val="24"/>
          <w:szCs w:val="24"/>
        </w:rPr>
        <w:t>归属于母公司股东的</w:t>
      </w:r>
      <w:r>
        <w:rPr>
          <w:rFonts w:ascii="Times New Roman" w:hAnsi="Times New Roman" w:hint="eastAsia"/>
          <w:sz w:val="24"/>
          <w:szCs w:val="24"/>
        </w:rPr>
        <w:t>资产净额为</w:t>
      </w:r>
      <w:r>
        <w:rPr>
          <w:rFonts w:ascii="Times New Roman" w:hAnsi="Times New Roman" w:hint="eastAsia"/>
          <w:sz w:val="24"/>
          <w:szCs w:val="24"/>
        </w:rPr>
        <w:t>1,234,526.91</w:t>
      </w:r>
      <w:r>
        <w:rPr>
          <w:rFonts w:ascii="Times New Roman" w:hAnsi="Times New Roman" w:hint="eastAsia"/>
          <w:sz w:val="24"/>
          <w:szCs w:val="24"/>
        </w:rPr>
        <w:t>万元，</w:t>
      </w:r>
      <w:r>
        <w:rPr>
          <w:rFonts w:ascii="Times New Roman" w:hAnsi="Times New Roman" w:hint="eastAsia"/>
          <w:sz w:val="24"/>
          <w:szCs w:val="24"/>
        </w:rPr>
        <w:t>2019</w:t>
      </w:r>
      <w:r>
        <w:rPr>
          <w:rFonts w:ascii="Times New Roman" w:hAnsi="Times New Roman" w:hint="eastAsia"/>
          <w:sz w:val="24"/>
          <w:szCs w:val="24"/>
        </w:rPr>
        <w:t>年度实现的经审计的营业收入为</w:t>
      </w:r>
      <w:r>
        <w:rPr>
          <w:rFonts w:ascii="Times New Roman" w:hAnsi="Times New Roman" w:hint="eastAsia"/>
          <w:sz w:val="24"/>
          <w:szCs w:val="24"/>
        </w:rPr>
        <w:t>476,832.70</w:t>
      </w:r>
      <w:r>
        <w:rPr>
          <w:rFonts w:ascii="Times New Roman" w:hAnsi="Times New Roman" w:hint="eastAsia"/>
          <w:sz w:val="24"/>
          <w:szCs w:val="24"/>
        </w:rPr>
        <w:t>万元，</w:t>
      </w:r>
      <w:r w:rsidRPr="00916461">
        <w:rPr>
          <w:rFonts w:ascii="Times New Roman" w:hAnsi="Times New Roman" w:hint="eastAsia"/>
          <w:sz w:val="24"/>
          <w:szCs w:val="24"/>
        </w:rPr>
        <w:t>均未超过</w:t>
      </w:r>
      <w:r w:rsidR="00F446B5">
        <w:rPr>
          <w:rFonts w:ascii="Times New Roman" w:hAnsi="Times New Roman" w:hint="eastAsia"/>
          <w:sz w:val="24"/>
          <w:szCs w:val="24"/>
        </w:rPr>
        <w:t>大连港</w:t>
      </w:r>
      <w:r w:rsidRPr="00916461">
        <w:rPr>
          <w:rFonts w:ascii="Times New Roman" w:hAnsi="Times New Roman" w:hint="eastAsia"/>
          <w:sz w:val="24"/>
          <w:szCs w:val="24"/>
        </w:rPr>
        <w:t>实际控制人变更</w:t>
      </w:r>
      <w:r w:rsidR="00F446B5">
        <w:rPr>
          <w:rFonts w:ascii="Times New Roman" w:hAnsi="Times New Roman"/>
          <w:sz w:val="24"/>
          <w:szCs w:val="24"/>
        </w:rPr>
        <w:t>为招商局集团之</w:t>
      </w:r>
      <w:r w:rsidRPr="00916461">
        <w:rPr>
          <w:rFonts w:ascii="Times New Roman" w:hAnsi="Times New Roman" w:hint="eastAsia"/>
          <w:sz w:val="24"/>
          <w:szCs w:val="24"/>
        </w:rPr>
        <w:t>前一个会计年度（</w:t>
      </w:r>
      <w:r w:rsidRPr="00916461">
        <w:rPr>
          <w:rFonts w:ascii="Times New Roman" w:hAnsi="Times New Roman"/>
          <w:sz w:val="24"/>
          <w:szCs w:val="24"/>
        </w:rPr>
        <w:t>2018</w:t>
      </w:r>
      <w:r w:rsidRPr="00916461">
        <w:rPr>
          <w:rFonts w:ascii="Times New Roman" w:hAnsi="Times New Roman" w:hint="eastAsia"/>
          <w:sz w:val="24"/>
          <w:szCs w:val="24"/>
        </w:rPr>
        <w:t>年度）经审计的合并财务会计报告对应财务指标的</w:t>
      </w:r>
      <w:r w:rsidRPr="00916461">
        <w:rPr>
          <w:rFonts w:ascii="Times New Roman" w:hAnsi="Times New Roman"/>
          <w:sz w:val="24"/>
          <w:szCs w:val="24"/>
        </w:rPr>
        <w:t>100%</w:t>
      </w:r>
      <w:r w:rsidRPr="00916461">
        <w:rPr>
          <w:rFonts w:ascii="Times New Roman" w:hAnsi="Times New Roman" w:hint="eastAsia"/>
          <w:sz w:val="24"/>
          <w:szCs w:val="24"/>
        </w:rPr>
        <w:t>。</w:t>
      </w:r>
      <w:r>
        <w:rPr>
          <w:rFonts w:ascii="Times New Roman" w:hAnsi="Times New Roman" w:hint="eastAsia"/>
          <w:sz w:val="24"/>
          <w:szCs w:val="24"/>
        </w:rPr>
        <w:t>本次</w:t>
      </w:r>
      <w:r w:rsidR="00DE00E3">
        <w:rPr>
          <w:rFonts w:ascii="Times New Roman" w:hAnsi="Times New Roman" w:hint="eastAsia"/>
          <w:sz w:val="24"/>
          <w:szCs w:val="24"/>
        </w:rPr>
        <w:t>交易所涉及的换股吸收合并</w:t>
      </w:r>
      <w:r>
        <w:rPr>
          <w:rFonts w:ascii="Times New Roman" w:hAnsi="Times New Roman" w:hint="eastAsia"/>
          <w:sz w:val="24"/>
          <w:szCs w:val="24"/>
        </w:rPr>
        <w:t>交易价格（</w:t>
      </w:r>
      <w:proofErr w:type="gramStart"/>
      <w:r>
        <w:rPr>
          <w:rFonts w:ascii="Times New Roman" w:hAnsi="Times New Roman" w:hint="eastAsia"/>
          <w:sz w:val="24"/>
          <w:szCs w:val="24"/>
        </w:rPr>
        <w:t>营口港换股价</w:t>
      </w:r>
      <w:proofErr w:type="gramEnd"/>
      <w:r>
        <w:rPr>
          <w:rFonts w:ascii="Times New Roman" w:hAnsi="Times New Roman" w:hint="eastAsia"/>
          <w:sz w:val="24"/>
          <w:szCs w:val="24"/>
        </w:rPr>
        <w:t>格×营口港总股本）为</w:t>
      </w:r>
      <w:r>
        <w:rPr>
          <w:rFonts w:ascii="Times New Roman" w:hAnsi="Times New Roman" w:hint="eastAsia"/>
          <w:sz w:val="24"/>
        </w:rPr>
        <w:t>167.65</w:t>
      </w:r>
      <w:r>
        <w:rPr>
          <w:rFonts w:ascii="Times New Roman" w:hAnsi="Times New Roman" w:hint="eastAsia"/>
          <w:sz w:val="24"/>
          <w:szCs w:val="24"/>
        </w:rPr>
        <w:t>亿元，未超过</w:t>
      </w:r>
      <w:r w:rsidR="00F446B5">
        <w:rPr>
          <w:rFonts w:ascii="Times New Roman" w:hAnsi="Times New Roman" w:hint="eastAsia"/>
          <w:sz w:val="24"/>
          <w:szCs w:val="24"/>
        </w:rPr>
        <w:t>大连港</w:t>
      </w:r>
      <w:r>
        <w:rPr>
          <w:rFonts w:ascii="Times New Roman" w:hAnsi="Times New Roman" w:hint="eastAsia"/>
          <w:sz w:val="24"/>
          <w:szCs w:val="24"/>
        </w:rPr>
        <w:t>实际控制人变更</w:t>
      </w:r>
      <w:r w:rsidR="00F446B5">
        <w:rPr>
          <w:rFonts w:ascii="Times New Roman" w:hAnsi="Times New Roman"/>
          <w:sz w:val="24"/>
          <w:szCs w:val="24"/>
        </w:rPr>
        <w:t>为招商局集团之</w:t>
      </w:r>
      <w:r>
        <w:rPr>
          <w:rFonts w:ascii="Times New Roman" w:hAnsi="Times New Roman" w:hint="eastAsia"/>
          <w:sz w:val="24"/>
          <w:szCs w:val="24"/>
        </w:rPr>
        <w:t>前一个会计年度（</w:t>
      </w:r>
      <w:r>
        <w:rPr>
          <w:rFonts w:ascii="Times New Roman" w:hAnsi="Times New Roman"/>
          <w:sz w:val="24"/>
          <w:szCs w:val="24"/>
        </w:rPr>
        <w:t>2018</w:t>
      </w:r>
      <w:r>
        <w:rPr>
          <w:rFonts w:ascii="Times New Roman" w:hAnsi="Times New Roman" w:hint="eastAsia"/>
          <w:sz w:val="24"/>
          <w:szCs w:val="24"/>
        </w:rPr>
        <w:t>年度）经审计的合并财务会计报告期末资产总额及</w:t>
      </w:r>
      <w:r w:rsidR="005649BE">
        <w:rPr>
          <w:rFonts w:ascii="Times New Roman" w:hAnsi="Times New Roman"/>
          <w:sz w:val="24"/>
          <w:szCs w:val="24"/>
        </w:rPr>
        <w:t>归属于母公司股东的</w:t>
      </w:r>
      <w:r>
        <w:rPr>
          <w:rFonts w:ascii="Times New Roman" w:hAnsi="Times New Roman" w:hint="eastAsia"/>
          <w:sz w:val="24"/>
          <w:szCs w:val="24"/>
        </w:rPr>
        <w:t>资产净额的</w:t>
      </w:r>
      <w:r>
        <w:rPr>
          <w:rFonts w:ascii="Times New Roman" w:hAnsi="Times New Roman"/>
          <w:sz w:val="24"/>
          <w:szCs w:val="24"/>
        </w:rPr>
        <w:t>100%</w:t>
      </w:r>
      <w:r>
        <w:rPr>
          <w:rFonts w:ascii="Times New Roman" w:hAnsi="Times New Roman" w:hint="eastAsia"/>
          <w:sz w:val="24"/>
          <w:szCs w:val="24"/>
        </w:rPr>
        <w:t>，且</w:t>
      </w:r>
      <w:r w:rsidR="005649BE">
        <w:rPr>
          <w:rFonts w:ascii="Times New Roman" w:hAnsi="Times New Roman" w:hint="eastAsia"/>
          <w:sz w:val="24"/>
          <w:szCs w:val="24"/>
        </w:rPr>
        <w:t>大连港</w:t>
      </w:r>
      <w:r>
        <w:rPr>
          <w:rFonts w:ascii="Times New Roman" w:hAnsi="Times New Roman" w:hint="eastAsia"/>
          <w:sz w:val="24"/>
          <w:szCs w:val="24"/>
        </w:rPr>
        <w:t>为本次</w:t>
      </w:r>
      <w:r w:rsidR="00DE00E3">
        <w:rPr>
          <w:rFonts w:ascii="Times New Roman" w:hAnsi="Times New Roman" w:hint="eastAsia"/>
          <w:sz w:val="24"/>
          <w:szCs w:val="24"/>
        </w:rPr>
        <w:t>交易所涉及的</w:t>
      </w:r>
      <w:r>
        <w:rPr>
          <w:rFonts w:ascii="Times New Roman" w:hAnsi="Times New Roman" w:hint="eastAsia"/>
          <w:sz w:val="24"/>
          <w:szCs w:val="24"/>
        </w:rPr>
        <w:t>换股吸收合并向营口</w:t>
      </w:r>
      <w:proofErr w:type="gramStart"/>
      <w:r>
        <w:rPr>
          <w:rFonts w:ascii="Times New Roman" w:hAnsi="Times New Roman" w:hint="eastAsia"/>
          <w:sz w:val="24"/>
          <w:szCs w:val="24"/>
        </w:rPr>
        <w:t>港全体</w:t>
      </w:r>
      <w:proofErr w:type="gramEnd"/>
      <w:r>
        <w:rPr>
          <w:rFonts w:ascii="Times New Roman" w:hAnsi="Times New Roman" w:hint="eastAsia"/>
          <w:sz w:val="24"/>
          <w:szCs w:val="24"/>
        </w:rPr>
        <w:t>股东所发行的</w:t>
      </w:r>
      <w:r>
        <w:rPr>
          <w:rFonts w:ascii="Times New Roman" w:hAnsi="Times New Roman" w:hint="eastAsia"/>
          <w:sz w:val="24"/>
          <w:szCs w:val="24"/>
        </w:rPr>
        <w:t>A</w:t>
      </w:r>
      <w:r>
        <w:rPr>
          <w:rFonts w:ascii="Times New Roman" w:hAnsi="Times New Roman" w:hint="eastAsia"/>
          <w:sz w:val="24"/>
          <w:szCs w:val="24"/>
        </w:rPr>
        <w:t>股股票不超过</w:t>
      </w:r>
      <w:r w:rsidR="005649BE">
        <w:rPr>
          <w:rFonts w:ascii="Times New Roman" w:hAnsi="Times New Roman" w:hint="eastAsia"/>
          <w:sz w:val="24"/>
          <w:szCs w:val="24"/>
        </w:rPr>
        <w:t>大连港</w:t>
      </w:r>
      <w:r>
        <w:rPr>
          <w:rFonts w:ascii="Times New Roman" w:hAnsi="Times New Roman" w:hint="eastAsia"/>
          <w:sz w:val="24"/>
          <w:szCs w:val="24"/>
        </w:rPr>
        <w:t>本次交易首次董事会决议公告日前一个交易日</w:t>
      </w:r>
      <w:r w:rsidR="005649BE">
        <w:rPr>
          <w:rFonts w:ascii="Times New Roman" w:hAnsi="Times New Roman" w:hint="eastAsia"/>
          <w:sz w:val="24"/>
          <w:szCs w:val="24"/>
        </w:rPr>
        <w:t>大连港</w:t>
      </w:r>
      <w:r>
        <w:rPr>
          <w:rFonts w:ascii="Times New Roman" w:hAnsi="Times New Roman" w:hint="eastAsia"/>
          <w:sz w:val="24"/>
          <w:szCs w:val="24"/>
        </w:rPr>
        <w:t>总股本的</w:t>
      </w:r>
      <w:r>
        <w:rPr>
          <w:rFonts w:ascii="Times New Roman" w:hAnsi="Times New Roman" w:hint="eastAsia"/>
          <w:sz w:val="24"/>
          <w:szCs w:val="24"/>
        </w:rPr>
        <w:t>100%</w:t>
      </w:r>
      <w:r>
        <w:rPr>
          <w:rFonts w:ascii="Times New Roman" w:hAnsi="Times New Roman" w:hint="eastAsia"/>
          <w:sz w:val="24"/>
          <w:szCs w:val="24"/>
        </w:rPr>
        <w:t>。此外，本次</w:t>
      </w:r>
      <w:r w:rsidR="00583425">
        <w:rPr>
          <w:rFonts w:ascii="Times New Roman" w:hAnsi="Times New Roman" w:hint="eastAsia"/>
          <w:sz w:val="24"/>
          <w:szCs w:val="24"/>
        </w:rPr>
        <w:t>交易</w:t>
      </w:r>
      <w:r>
        <w:rPr>
          <w:rFonts w:ascii="Times New Roman" w:hAnsi="Times New Roman" w:hint="eastAsia"/>
          <w:sz w:val="24"/>
          <w:szCs w:val="24"/>
        </w:rPr>
        <w:t>亦不会导致大连港的主营业务发生根本变化。因此，本次交易不构成重组上市。</w:t>
      </w:r>
    </w:p>
    <w:p w:rsidR="00413876" w:rsidRDefault="000E6223">
      <w:pPr>
        <w:spacing w:line="360" w:lineRule="auto"/>
        <w:ind w:firstLineChars="200" w:firstLine="480"/>
        <w:rPr>
          <w:rFonts w:ascii="Times New Roman" w:hAnsi="Times New Roman"/>
          <w:sz w:val="24"/>
          <w:szCs w:val="24"/>
        </w:rPr>
      </w:pPr>
      <w:r>
        <w:rPr>
          <w:rFonts w:ascii="Times New Roman" w:hAnsi="Times New Roman" w:hint="eastAsia"/>
          <w:sz w:val="24"/>
          <w:szCs w:val="24"/>
        </w:rPr>
        <w:t>经核查，</w:t>
      </w:r>
      <w:proofErr w:type="gramStart"/>
      <w:r>
        <w:rPr>
          <w:rFonts w:ascii="Times New Roman" w:hAnsi="Times New Roman" w:hint="eastAsia"/>
          <w:sz w:val="24"/>
          <w:szCs w:val="24"/>
        </w:rPr>
        <w:t>本独立</w:t>
      </w:r>
      <w:proofErr w:type="gramEnd"/>
      <w:r>
        <w:rPr>
          <w:rFonts w:ascii="Times New Roman" w:hAnsi="Times New Roman" w:hint="eastAsia"/>
          <w:sz w:val="24"/>
          <w:szCs w:val="24"/>
        </w:rPr>
        <w:t>财务顾问认为：本次交易不构成《上市公司重大资产重组管理办法》第十三条规定的重组上市。</w:t>
      </w:r>
    </w:p>
    <w:p w:rsidR="00413876" w:rsidRDefault="000E6223">
      <w:pPr>
        <w:spacing w:beforeLines="50" w:before="156" w:afterLines="50" w:after="156" w:line="360" w:lineRule="auto"/>
        <w:ind w:firstLineChars="200" w:firstLine="482"/>
        <w:outlineLvl w:val="0"/>
        <w:rPr>
          <w:rFonts w:ascii="Times New Roman" w:hAnsi="Times New Roman"/>
          <w:b/>
          <w:sz w:val="24"/>
          <w:szCs w:val="24"/>
        </w:rPr>
      </w:pPr>
      <w:r>
        <w:rPr>
          <w:rFonts w:ascii="Times New Roman" w:hAnsi="Times New Roman"/>
          <w:b/>
          <w:sz w:val="24"/>
          <w:szCs w:val="24"/>
        </w:rPr>
        <w:t>3</w:t>
      </w:r>
      <w:r>
        <w:rPr>
          <w:rFonts w:ascii="Times New Roman" w:hAnsi="Times New Roman" w:hint="eastAsia"/>
          <w:b/>
          <w:sz w:val="24"/>
          <w:szCs w:val="24"/>
        </w:rPr>
        <w:t>、本次重大资产重组是否涉及发行股份</w:t>
      </w:r>
    </w:p>
    <w:p w:rsidR="00413876" w:rsidRDefault="000E6223">
      <w:pPr>
        <w:snapToGrid w:val="0"/>
        <w:spacing w:beforeLines="50" w:before="156" w:afterLines="50" w:after="156" w:line="360" w:lineRule="auto"/>
        <w:ind w:firstLineChars="200" w:firstLine="480"/>
        <w:rPr>
          <w:rFonts w:ascii="Times New Roman" w:hAnsi="Times New Roman"/>
          <w:sz w:val="24"/>
          <w:szCs w:val="24"/>
        </w:rPr>
      </w:pPr>
      <w:r>
        <w:rPr>
          <w:rFonts w:ascii="Times New Roman" w:hAnsi="Times New Roman" w:hint="eastAsia"/>
          <w:sz w:val="24"/>
          <w:szCs w:val="24"/>
        </w:rPr>
        <w:t>根据本次重组方案，大连港拟通过向</w:t>
      </w:r>
      <w:r>
        <w:rPr>
          <w:rFonts w:ascii="Times New Roman" w:eastAsiaTheme="minorEastAsia" w:hAnsi="Times New Roman" w:hint="eastAsia"/>
          <w:sz w:val="24"/>
          <w:szCs w:val="24"/>
        </w:rPr>
        <w:t>营口</w:t>
      </w:r>
      <w:proofErr w:type="gramStart"/>
      <w:r>
        <w:rPr>
          <w:rFonts w:ascii="Times New Roman" w:eastAsiaTheme="minorEastAsia" w:hAnsi="Times New Roman" w:hint="eastAsia"/>
          <w:sz w:val="24"/>
          <w:szCs w:val="24"/>
        </w:rPr>
        <w:t>港全体</w:t>
      </w:r>
      <w:proofErr w:type="gramEnd"/>
      <w:r>
        <w:rPr>
          <w:rFonts w:ascii="Times New Roman" w:eastAsiaTheme="minorEastAsia" w:hAnsi="Times New Roman" w:hint="eastAsia"/>
          <w:sz w:val="24"/>
          <w:szCs w:val="24"/>
        </w:rPr>
        <w:t>股东</w:t>
      </w:r>
      <w:r>
        <w:rPr>
          <w:rFonts w:ascii="Times New Roman" w:hAnsi="Times New Roman" w:hint="eastAsia"/>
          <w:sz w:val="24"/>
          <w:szCs w:val="24"/>
        </w:rPr>
        <w:t>发行</w:t>
      </w:r>
      <w:r>
        <w:rPr>
          <w:rFonts w:ascii="Times New Roman" w:hAnsi="Times New Roman" w:hint="eastAsia"/>
          <w:sz w:val="24"/>
          <w:szCs w:val="24"/>
        </w:rPr>
        <w:t>A</w:t>
      </w:r>
      <w:r>
        <w:rPr>
          <w:rFonts w:ascii="Times New Roman" w:hAnsi="Times New Roman" w:hint="eastAsia"/>
          <w:sz w:val="24"/>
          <w:szCs w:val="24"/>
        </w:rPr>
        <w:t>股股份的方式换股吸收合并营口港，同时，拟向不超过</w:t>
      </w:r>
      <w:r>
        <w:rPr>
          <w:rFonts w:ascii="Times New Roman" w:hAnsi="Times New Roman" w:hint="eastAsia"/>
          <w:sz w:val="24"/>
          <w:szCs w:val="24"/>
        </w:rPr>
        <w:t>35</w:t>
      </w:r>
      <w:proofErr w:type="gramStart"/>
      <w:r>
        <w:rPr>
          <w:rFonts w:ascii="Times New Roman" w:hAnsi="Times New Roman" w:hint="eastAsia"/>
          <w:sz w:val="24"/>
          <w:szCs w:val="24"/>
        </w:rPr>
        <w:t>名特定</w:t>
      </w:r>
      <w:proofErr w:type="gramEnd"/>
      <w:r>
        <w:rPr>
          <w:rFonts w:ascii="Times New Roman" w:hAnsi="Times New Roman" w:hint="eastAsia"/>
          <w:sz w:val="24"/>
          <w:szCs w:val="24"/>
        </w:rPr>
        <w:t>投资者非公开发行</w:t>
      </w:r>
      <w:r>
        <w:rPr>
          <w:rFonts w:ascii="Times New Roman" w:hAnsi="Times New Roman" w:hint="eastAsia"/>
          <w:sz w:val="24"/>
          <w:szCs w:val="24"/>
        </w:rPr>
        <w:t>A</w:t>
      </w:r>
      <w:r>
        <w:rPr>
          <w:rFonts w:ascii="Times New Roman" w:hAnsi="Times New Roman" w:hint="eastAsia"/>
          <w:sz w:val="24"/>
          <w:szCs w:val="24"/>
        </w:rPr>
        <w:t>股股份募集配套资金。</w:t>
      </w:r>
    </w:p>
    <w:p w:rsidR="00413876" w:rsidRDefault="000E6223">
      <w:pPr>
        <w:snapToGrid w:val="0"/>
        <w:spacing w:beforeLines="50" w:before="156" w:afterLines="50" w:after="156" w:line="360" w:lineRule="auto"/>
        <w:ind w:firstLineChars="200" w:firstLine="480"/>
        <w:rPr>
          <w:rFonts w:ascii="Times New Roman" w:hAnsi="Times New Roman"/>
          <w:sz w:val="24"/>
          <w:szCs w:val="24"/>
        </w:rPr>
      </w:pPr>
      <w:r>
        <w:rPr>
          <w:rFonts w:ascii="Times New Roman" w:hAnsi="Times New Roman" w:hint="eastAsia"/>
          <w:sz w:val="24"/>
          <w:szCs w:val="24"/>
        </w:rPr>
        <w:t>经核查，</w:t>
      </w:r>
      <w:proofErr w:type="gramStart"/>
      <w:r>
        <w:rPr>
          <w:rFonts w:ascii="Times New Roman" w:hAnsi="Times New Roman" w:hint="eastAsia"/>
          <w:sz w:val="24"/>
          <w:szCs w:val="24"/>
        </w:rPr>
        <w:t>本</w:t>
      </w:r>
      <w:r>
        <w:rPr>
          <w:rFonts w:ascii="Times New Roman" w:hAnsi="Times New Roman" w:hint="eastAsia"/>
          <w:color w:val="000000"/>
          <w:kern w:val="0"/>
          <w:sz w:val="24"/>
          <w:szCs w:val="24"/>
        </w:rPr>
        <w:t>独立</w:t>
      </w:r>
      <w:proofErr w:type="gramEnd"/>
      <w:r>
        <w:rPr>
          <w:rFonts w:ascii="Times New Roman" w:hAnsi="Times New Roman" w:hint="eastAsia"/>
          <w:color w:val="000000"/>
          <w:kern w:val="0"/>
          <w:sz w:val="24"/>
          <w:szCs w:val="24"/>
        </w:rPr>
        <w:t>财务顾问认为：</w:t>
      </w:r>
      <w:r>
        <w:rPr>
          <w:rFonts w:ascii="Times New Roman" w:hAnsi="Times New Roman" w:hint="eastAsia"/>
          <w:sz w:val="24"/>
          <w:szCs w:val="24"/>
        </w:rPr>
        <w:t>本次重组涉及发行股份。</w:t>
      </w:r>
    </w:p>
    <w:p w:rsidR="00413876" w:rsidRDefault="000E6223">
      <w:pPr>
        <w:spacing w:beforeLines="50" w:before="156" w:afterLines="50" w:after="156" w:line="360" w:lineRule="auto"/>
        <w:ind w:firstLineChars="200" w:firstLine="482"/>
        <w:outlineLvl w:val="0"/>
        <w:rPr>
          <w:rFonts w:ascii="Times New Roman" w:hAnsi="Times New Roman"/>
          <w:b/>
          <w:sz w:val="24"/>
          <w:szCs w:val="24"/>
        </w:rPr>
      </w:pPr>
      <w:r>
        <w:rPr>
          <w:rFonts w:ascii="Times New Roman" w:hAnsi="Times New Roman"/>
          <w:b/>
          <w:sz w:val="24"/>
          <w:szCs w:val="24"/>
        </w:rPr>
        <w:t>4</w:t>
      </w:r>
      <w:r>
        <w:rPr>
          <w:rFonts w:ascii="Times New Roman" w:hAnsi="Times New Roman" w:hint="eastAsia"/>
          <w:b/>
          <w:sz w:val="24"/>
          <w:szCs w:val="24"/>
        </w:rPr>
        <w:t>、上市公司是否存在被中国证监会立案稽查且尚未结案的情形</w:t>
      </w:r>
    </w:p>
    <w:p w:rsidR="00413876" w:rsidRDefault="000E6223">
      <w:pPr>
        <w:autoSpaceDE w:val="0"/>
        <w:autoSpaceDN w:val="0"/>
        <w:adjustRightInd w:val="0"/>
        <w:spacing w:beforeLines="50" w:before="156" w:afterLines="50" w:after="156" w:line="360" w:lineRule="auto"/>
        <w:ind w:firstLineChars="200" w:firstLine="480"/>
        <w:jc w:val="left"/>
        <w:rPr>
          <w:rFonts w:ascii="Times New Roman" w:hAnsi="Times New Roman"/>
          <w:color w:val="000000"/>
          <w:kern w:val="0"/>
          <w:sz w:val="24"/>
          <w:szCs w:val="24"/>
        </w:rPr>
      </w:pPr>
      <w:r>
        <w:rPr>
          <w:rFonts w:ascii="Times New Roman" w:hAnsi="Times New Roman" w:hint="eastAsia"/>
          <w:color w:val="000000"/>
          <w:kern w:val="0"/>
          <w:sz w:val="24"/>
          <w:szCs w:val="24"/>
        </w:rPr>
        <w:t>根据</w:t>
      </w:r>
      <w:r w:rsidR="001F6F15">
        <w:rPr>
          <w:rFonts w:ascii="Times New Roman" w:hAnsi="Times New Roman" w:hint="eastAsia"/>
          <w:color w:val="000000"/>
          <w:kern w:val="0"/>
          <w:sz w:val="24"/>
          <w:szCs w:val="24"/>
        </w:rPr>
        <w:t>大连港</w:t>
      </w:r>
      <w:r>
        <w:rPr>
          <w:rFonts w:ascii="Times New Roman" w:hAnsi="Times New Roman" w:hint="eastAsia"/>
          <w:color w:val="000000"/>
          <w:kern w:val="0"/>
          <w:sz w:val="24"/>
          <w:szCs w:val="24"/>
        </w:rPr>
        <w:t>相关公告、出具的承诺以及中国证监会等监管部门的公开信息，经核查，</w:t>
      </w:r>
      <w:proofErr w:type="gramStart"/>
      <w:r>
        <w:rPr>
          <w:rFonts w:ascii="Times New Roman" w:hAnsi="Times New Roman" w:hint="eastAsia"/>
          <w:color w:val="000000"/>
          <w:kern w:val="0"/>
          <w:sz w:val="24"/>
          <w:szCs w:val="24"/>
        </w:rPr>
        <w:t>本独立</w:t>
      </w:r>
      <w:proofErr w:type="gramEnd"/>
      <w:r>
        <w:rPr>
          <w:rFonts w:ascii="Times New Roman" w:hAnsi="Times New Roman" w:hint="eastAsia"/>
          <w:color w:val="000000"/>
          <w:kern w:val="0"/>
          <w:sz w:val="24"/>
          <w:szCs w:val="24"/>
        </w:rPr>
        <w:t>财务顾问认为：</w:t>
      </w:r>
      <w:r w:rsidR="001F6F15">
        <w:rPr>
          <w:rFonts w:ascii="Times New Roman" w:hAnsi="Times New Roman" w:hint="eastAsia"/>
          <w:color w:val="000000"/>
          <w:kern w:val="0"/>
          <w:sz w:val="24"/>
          <w:szCs w:val="24"/>
        </w:rPr>
        <w:t>大连港</w:t>
      </w:r>
      <w:r>
        <w:rPr>
          <w:rFonts w:ascii="Times New Roman" w:hAnsi="Times New Roman" w:hint="eastAsia"/>
          <w:color w:val="000000"/>
          <w:kern w:val="0"/>
          <w:sz w:val="24"/>
          <w:szCs w:val="24"/>
        </w:rPr>
        <w:t>不存在被中国证监会立案稽查且尚未结案的情形。</w:t>
      </w:r>
    </w:p>
    <w:p w:rsidR="00413876" w:rsidRDefault="000E6223">
      <w:pPr>
        <w:spacing w:beforeLines="50" w:before="156" w:afterLines="50" w:after="156" w:line="360" w:lineRule="auto"/>
        <w:ind w:firstLineChars="200" w:firstLine="482"/>
        <w:outlineLvl w:val="0"/>
        <w:rPr>
          <w:rFonts w:ascii="Times New Roman" w:hAnsi="Times New Roman"/>
          <w:b/>
          <w:sz w:val="24"/>
          <w:szCs w:val="24"/>
        </w:rPr>
      </w:pPr>
      <w:r>
        <w:rPr>
          <w:rFonts w:ascii="Times New Roman" w:hAnsi="Times New Roman"/>
          <w:b/>
          <w:sz w:val="24"/>
          <w:szCs w:val="24"/>
        </w:rPr>
        <w:t>5</w:t>
      </w:r>
      <w:r>
        <w:rPr>
          <w:rFonts w:ascii="Times New Roman" w:hAnsi="Times New Roman" w:hint="eastAsia"/>
          <w:b/>
          <w:sz w:val="24"/>
          <w:szCs w:val="24"/>
        </w:rPr>
        <w:t>、中国证监会或上交所要求的其他事项。</w:t>
      </w:r>
    </w:p>
    <w:p w:rsidR="00413876" w:rsidRDefault="000E6223">
      <w:pPr>
        <w:spacing w:beforeLines="50" w:before="156" w:afterLines="50" w:after="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lastRenderedPageBreak/>
        <w:t>无。</w:t>
      </w:r>
    </w:p>
    <w:p w:rsidR="00413876" w:rsidRDefault="00413876">
      <w:pPr>
        <w:spacing w:beforeLines="50" w:before="156" w:afterLines="50" w:after="156" w:line="360" w:lineRule="auto"/>
        <w:ind w:firstLineChars="200" w:firstLine="480"/>
        <w:rPr>
          <w:rFonts w:ascii="Times New Roman" w:hAnsi="Times New Roman"/>
          <w:color w:val="000000"/>
          <w:kern w:val="0"/>
          <w:sz w:val="24"/>
          <w:szCs w:val="24"/>
        </w:rPr>
      </w:pPr>
    </w:p>
    <w:p w:rsidR="00413876" w:rsidRDefault="000E6223">
      <w:pPr>
        <w:spacing w:beforeLines="50" w:before="156" w:afterLines="50" w:after="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（以下无正文）</w:t>
      </w:r>
    </w:p>
    <w:p w:rsidR="00413876" w:rsidRDefault="000E6223">
      <w:pPr>
        <w:spacing w:beforeLines="50" w:before="156" w:line="360" w:lineRule="auto"/>
        <w:rPr>
          <w:rFonts w:ascii="Times New Roman" w:hAnsi="Times New Roman"/>
          <w:sz w:val="24"/>
          <w:szCs w:val="24"/>
        </w:rPr>
      </w:pPr>
      <w:r>
        <w:rPr>
          <w:rFonts w:ascii="Times New Roman" w:hAnsi="Times New Roman"/>
          <w:color w:val="000000"/>
          <w:kern w:val="0"/>
          <w:sz w:val="24"/>
          <w:szCs w:val="24"/>
        </w:rPr>
        <w:br w:type="page"/>
      </w:r>
    </w:p>
    <w:p w:rsidR="00413876" w:rsidRDefault="000E6223">
      <w:pPr>
        <w:spacing w:beforeLines="50" w:before="156" w:line="360" w:lineRule="auto"/>
        <w:rPr>
          <w:rFonts w:ascii="Times New Roman" w:hAnsi="Times New Roman"/>
          <w:sz w:val="24"/>
          <w:szCs w:val="24"/>
        </w:rPr>
      </w:pPr>
      <w:r>
        <w:rPr>
          <w:rFonts w:ascii="Times New Roman" w:hAnsi="Times New Roman" w:hint="eastAsia"/>
          <w:sz w:val="24"/>
          <w:szCs w:val="24"/>
        </w:rPr>
        <w:lastRenderedPageBreak/>
        <w:t>（本页无正文，为《中国国际金融股份有限公司关于大连港股份有限公司换股吸收合并营口港务股份有限公司并募集配套资金暨关联交易产业政策和交易类型之专项核查意见》之签章页）</w:t>
      </w:r>
    </w:p>
    <w:p w:rsidR="00413876" w:rsidRDefault="00413876">
      <w:pPr>
        <w:spacing w:beforeLines="50" w:before="156" w:line="360" w:lineRule="auto"/>
        <w:ind w:firstLineChars="200" w:firstLine="480"/>
        <w:rPr>
          <w:rFonts w:ascii="Times New Roman" w:hAnsi="Times New Roman"/>
          <w:sz w:val="24"/>
          <w:szCs w:val="24"/>
        </w:rPr>
      </w:pPr>
    </w:p>
    <w:p w:rsidR="00413876" w:rsidRDefault="00413876">
      <w:pPr>
        <w:spacing w:beforeLines="50" w:before="156" w:line="360" w:lineRule="auto"/>
        <w:ind w:firstLineChars="200" w:firstLine="480"/>
        <w:rPr>
          <w:rFonts w:ascii="Times New Roman" w:hAnsi="Times New Roman"/>
          <w:sz w:val="24"/>
          <w:szCs w:val="24"/>
        </w:rPr>
      </w:pPr>
    </w:p>
    <w:p w:rsidR="00413876" w:rsidRDefault="00413876">
      <w:pPr>
        <w:spacing w:line="360" w:lineRule="auto"/>
        <w:rPr>
          <w:rFonts w:ascii="Times New Roman" w:hAnsi="Times New Roman"/>
          <w:sz w:val="24"/>
          <w:szCs w:val="24"/>
        </w:rPr>
      </w:pPr>
    </w:p>
    <w:p w:rsidR="00413876" w:rsidRDefault="00413876">
      <w:pPr>
        <w:spacing w:line="360" w:lineRule="auto"/>
        <w:jc w:val="right"/>
        <w:rPr>
          <w:rFonts w:ascii="Times New Roman" w:hAnsi="Times New Roman"/>
          <w:sz w:val="24"/>
          <w:szCs w:val="24"/>
        </w:rPr>
      </w:pPr>
    </w:p>
    <w:p w:rsidR="00413876" w:rsidRDefault="000E6223">
      <w:pPr>
        <w:autoSpaceDE w:val="0"/>
        <w:autoSpaceDN w:val="0"/>
        <w:adjustRightInd w:val="0"/>
        <w:spacing w:beforeLines="50" w:before="156" w:afterLines="50" w:after="156" w:line="360" w:lineRule="auto"/>
        <w:jc w:val="right"/>
        <w:rPr>
          <w:rFonts w:ascii="Times New Roman" w:hAnsi="Times New Roman"/>
          <w:sz w:val="24"/>
          <w:szCs w:val="24"/>
        </w:rPr>
      </w:pPr>
      <w:r>
        <w:rPr>
          <w:rFonts w:ascii="Times New Roman" w:hAnsi="Times New Roman" w:hint="eastAsia"/>
          <w:sz w:val="24"/>
          <w:szCs w:val="24"/>
        </w:rPr>
        <w:t>独立财务顾问主办人：</w:t>
      </w:r>
      <w:r>
        <w:rPr>
          <w:rFonts w:ascii="Times New Roman" w:hAnsi="Times New Roman"/>
          <w:sz w:val="24"/>
          <w:szCs w:val="24"/>
        </w:rPr>
        <w:t>____________________   ____________________</w:t>
      </w:r>
    </w:p>
    <w:p w:rsidR="00413876" w:rsidRDefault="00E4607A" w:rsidP="00E4607A">
      <w:pPr>
        <w:wordWrap w:val="0"/>
        <w:autoSpaceDE w:val="0"/>
        <w:autoSpaceDN w:val="0"/>
        <w:adjustRightInd w:val="0"/>
        <w:spacing w:beforeLines="50" w:before="156" w:afterLines="50" w:after="156" w:line="360" w:lineRule="auto"/>
        <w:jc w:val="right"/>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谭</w:t>
      </w:r>
      <w:r>
        <w:rPr>
          <w:rFonts w:ascii="Times New Roman" w:hAnsi="Times New Roman" w:hint="eastAsia"/>
          <w:sz w:val="24"/>
          <w:szCs w:val="24"/>
        </w:rPr>
        <w:t xml:space="preserve">  </w:t>
      </w:r>
      <w:r>
        <w:rPr>
          <w:rFonts w:ascii="Times New Roman" w:hAnsi="Times New Roman" w:hint="eastAsia"/>
          <w:sz w:val="24"/>
          <w:szCs w:val="24"/>
        </w:rPr>
        <w:t>笑</w:t>
      </w:r>
      <w:r w:rsidR="000E6223">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hint="eastAsia"/>
          <w:sz w:val="24"/>
          <w:szCs w:val="24"/>
        </w:rPr>
        <w:t>吴嘉青</w:t>
      </w:r>
      <w:r w:rsidR="000E6223">
        <w:rPr>
          <w:rFonts w:ascii="Times New Roman" w:hAnsi="Times New Roman"/>
          <w:sz w:val="24"/>
          <w:szCs w:val="24"/>
        </w:rPr>
        <w:t xml:space="preserve">       </w:t>
      </w:r>
      <w:bookmarkStart w:id="0" w:name="_GoBack"/>
      <w:bookmarkEnd w:id="0"/>
    </w:p>
    <w:p w:rsidR="00413876" w:rsidRDefault="00413876">
      <w:pPr>
        <w:autoSpaceDE w:val="0"/>
        <w:autoSpaceDN w:val="0"/>
        <w:adjustRightInd w:val="0"/>
        <w:spacing w:beforeLines="50" w:before="156" w:afterLines="50" w:after="156" w:line="360" w:lineRule="auto"/>
        <w:jc w:val="right"/>
        <w:rPr>
          <w:rFonts w:ascii="Times New Roman" w:hAnsi="Times New Roman"/>
          <w:color w:val="000000" w:themeColor="text1"/>
          <w:kern w:val="0"/>
          <w:sz w:val="24"/>
          <w:szCs w:val="24"/>
        </w:rPr>
      </w:pPr>
    </w:p>
    <w:p w:rsidR="00413876" w:rsidRDefault="00413876">
      <w:pPr>
        <w:autoSpaceDE w:val="0"/>
        <w:autoSpaceDN w:val="0"/>
        <w:adjustRightInd w:val="0"/>
        <w:spacing w:beforeLines="50" w:before="156" w:afterLines="50" w:after="156" w:line="360" w:lineRule="auto"/>
        <w:jc w:val="right"/>
        <w:rPr>
          <w:rFonts w:ascii="Times New Roman" w:hAnsi="Times New Roman"/>
          <w:sz w:val="24"/>
          <w:szCs w:val="24"/>
        </w:rPr>
      </w:pPr>
    </w:p>
    <w:p w:rsidR="00413876" w:rsidRDefault="00413876">
      <w:pPr>
        <w:autoSpaceDE w:val="0"/>
        <w:autoSpaceDN w:val="0"/>
        <w:adjustRightInd w:val="0"/>
        <w:spacing w:beforeLines="50" w:before="156" w:afterLines="50" w:after="156" w:line="360" w:lineRule="auto"/>
        <w:jc w:val="right"/>
        <w:rPr>
          <w:rFonts w:ascii="Times New Roman" w:hAnsi="Times New Roman"/>
          <w:sz w:val="24"/>
          <w:szCs w:val="24"/>
        </w:rPr>
      </w:pPr>
    </w:p>
    <w:p w:rsidR="00413876" w:rsidRDefault="00413876">
      <w:pPr>
        <w:autoSpaceDE w:val="0"/>
        <w:autoSpaceDN w:val="0"/>
        <w:adjustRightInd w:val="0"/>
        <w:spacing w:beforeLines="50" w:before="156" w:afterLines="50" w:after="156" w:line="360" w:lineRule="auto"/>
        <w:jc w:val="right"/>
        <w:rPr>
          <w:rFonts w:ascii="Times New Roman" w:hAnsi="Times New Roman"/>
          <w:sz w:val="24"/>
          <w:szCs w:val="24"/>
        </w:rPr>
      </w:pPr>
    </w:p>
    <w:p w:rsidR="00413876" w:rsidRDefault="000E6223">
      <w:pPr>
        <w:widowControl/>
        <w:jc w:val="right"/>
        <w:rPr>
          <w:rFonts w:ascii="Times New Roman" w:hAnsi="Times New Roman"/>
          <w:color w:val="000000" w:themeColor="text1"/>
          <w:sz w:val="24"/>
          <w:szCs w:val="24"/>
        </w:rPr>
      </w:pPr>
      <w:r>
        <w:rPr>
          <w:rFonts w:ascii="Times New Roman" w:hAnsi="Times New Roman" w:hint="eastAsia"/>
          <w:color w:val="000000" w:themeColor="text1"/>
          <w:sz w:val="24"/>
          <w:szCs w:val="24"/>
        </w:rPr>
        <w:t>中国国际金融股份有限公司</w:t>
      </w:r>
    </w:p>
    <w:p w:rsidR="00413876" w:rsidRDefault="000E6223">
      <w:pPr>
        <w:spacing w:beforeLines="50" w:before="156" w:line="360" w:lineRule="auto"/>
        <w:ind w:firstLine="480"/>
        <w:jc w:val="right"/>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 xml:space="preserve">月 </w:t>
      </w:r>
      <w:r>
        <w:rPr>
          <w:rFonts w:ascii="宋体" w:hAnsi="宋体"/>
          <w:sz w:val="24"/>
          <w:szCs w:val="24"/>
        </w:rPr>
        <w:t xml:space="preserve">  </w:t>
      </w:r>
      <w:r>
        <w:rPr>
          <w:rFonts w:ascii="宋体" w:hAnsi="宋体" w:hint="eastAsia"/>
          <w:sz w:val="24"/>
          <w:szCs w:val="24"/>
        </w:rPr>
        <w:t>日</w:t>
      </w:r>
    </w:p>
    <w:p w:rsidR="00413876" w:rsidRDefault="00413876">
      <w:pPr>
        <w:widowControl/>
        <w:jc w:val="left"/>
        <w:rPr>
          <w:rFonts w:ascii="Times New Roman" w:hAnsi="Times New Roman"/>
          <w:color w:val="000000" w:themeColor="text1"/>
          <w:sz w:val="24"/>
          <w:szCs w:val="24"/>
        </w:rPr>
      </w:pPr>
    </w:p>
    <w:p w:rsidR="00413876" w:rsidRDefault="00413876">
      <w:pPr>
        <w:spacing w:beforeLines="50" w:before="156" w:line="360" w:lineRule="auto"/>
        <w:ind w:firstLineChars="200" w:firstLine="480"/>
        <w:rPr>
          <w:rFonts w:ascii="Times New Roman" w:hAnsi="Times New Roman"/>
          <w:sz w:val="24"/>
          <w:szCs w:val="24"/>
        </w:rPr>
      </w:pPr>
    </w:p>
    <w:p w:rsidR="00413876" w:rsidRDefault="00413876">
      <w:pPr>
        <w:spacing w:beforeLines="50" w:before="156" w:afterLines="50" w:after="156" w:line="360" w:lineRule="auto"/>
        <w:rPr>
          <w:rFonts w:ascii="Times New Roman" w:hAnsi="Times New Roman"/>
          <w:color w:val="000000"/>
          <w:kern w:val="0"/>
          <w:sz w:val="24"/>
          <w:szCs w:val="24"/>
        </w:rPr>
      </w:pPr>
    </w:p>
    <w:sectPr w:rsidR="004138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F5" w:rsidRDefault="00D76CF5">
      <w:r>
        <w:separator/>
      </w:r>
    </w:p>
  </w:endnote>
  <w:endnote w:type="continuationSeparator" w:id="0">
    <w:p w:rsidR="00D76CF5" w:rsidRDefault="00D7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336884"/>
      <w:docPartObj>
        <w:docPartGallery w:val="Page Numbers (Bottom of Page)"/>
        <w:docPartUnique/>
      </w:docPartObj>
    </w:sdtPr>
    <w:sdtEndPr/>
    <w:sdtContent>
      <w:p w:rsidR="00413876" w:rsidRDefault="000E6223">
        <w:pPr>
          <w:pStyle w:val="a5"/>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4607A" w:rsidRPr="00E4607A">
          <w:rPr>
            <w:rFonts w:ascii="Times New Roman" w:hAnsi="Times New Roman"/>
            <w:noProof/>
            <w:lang w:val="zh-CN"/>
          </w:rPr>
          <w:t>6</w:t>
        </w:r>
        <w:r>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F5" w:rsidRDefault="00D76CF5">
      <w:r>
        <w:separator/>
      </w:r>
    </w:p>
  </w:footnote>
  <w:footnote w:type="continuationSeparator" w:id="0">
    <w:p w:rsidR="00D76CF5" w:rsidRDefault="00D76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cbed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M0NTc1MDc3N7I0NLVU0lEKTi0uzszPAykwrAUARXIFFCwAAAA="/>
    <w:docVar w:name="APWAFVersion" w:val="5.0"/>
  </w:docVars>
  <w:rsids>
    <w:rsidRoot w:val="00413876"/>
    <w:rsid w:val="0001743C"/>
    <w:rsid w:val="000C6363"/>
    <w:rsid w:val="000E6223"/>
    <w:rsid w:val="001A3D52"/>
    <w:rsid w:val="001D5DE8"/>
    <w:rsid w:val="001E6C5D"/>
    <w:rsid w:val="001F6F15"/>
    <w:rsid w:val="0022120A"/>
    <w:rsid w:val="0032598C"/>
    <w:rsid w:val="00361678"/>
    <w:rsid w:val="00383999"/>
    <w:rsid w:val="00413876"/>
    <w:rsid w:val="00420579"/>
    <w:rsid w:val="004B2C36"/>
    <w:rsid w:val="00534457"/>
    <w:rsid w:val="005649BE"/>
    <w:rsid w:val="00583425"/>
    <w:rsid w:val="005A3BC7"/>
    <w:rsid w:val="006C438D"/>
    <w:rsid w:val="006E519C"/>
    <w:rsid w:val="006F39BD"/>
    <w:rsid w:val="0074019F"/>
    <w:rsid w:val="007705B4"/>
    <w:rsid w:val="00783C10"/>
    <w:rsid w:val="007B1511"/>
    <w:rsid w:val="00826AEE"/>
    <w:rsid w:val="00916461"/>
    <w:rsid w:val="00A416CA"/>
    <w:rsid w:val="00A858A1"/>
    <w:rsid w:val="00AD4E30"/>
    <w:rsid w:val="00BB0D9F"/>
    <w:rsid w:val="00C811DE"/>
    <w:rsid w:val="00C85F2C"/>
    <w:rsid w:val="00CA4279"/>
    <w:rsid w:val="00D0533C"/>
    <w:rsid w:val="00D76CF5"/>
    <w:rsid w:val="00DA78A3"/>
    <w:rsid w:val="00DE00E3"/>
    <w:rsid w:val="00E4607A"/>
    <w:rsid w:val="00F32C72"/>
    <w:rsid w:val="00F44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bed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3">
    <w:name w:val="Normal Indent"/>
    <w:aliases w:val="正文2级,正文（首行缩进两字）1,表正文,正文非缩进,缩进,四号,正文不缩进,特点 Char,水上软件,特点标题,特点正文,正文缩进 Char1 Char,正文缩进 Char Char Char,正文缩进 Char1 Char Char Char,正文缩进 Char Char Char Char Char,正文缩进 Char1 Char Char Char Char Char,正文普通文字,EH,正文（首行缩进两字）,正文缩进（首行缩进两字）,首行,标题4,特,s4,文本条"/>
    <w:basedOn w:val="a"/>
    <w:link w:val="Char"/>
    <w:uiPriority w:val="99"/>
    <w:unhideWhenUsed/>
    <w:qFormat/>
    <w:pPr>
      <w:spacing w:beforeLines="50" w:after="40" w:line="360" w:lineRule="auto"/>
      <w:ind w:firstLineChars="200" w:firstLine="420"/>
    </w:pPr>
    <w:rPr>
      <w:rFonts w:ascii="Times New Roman" w:hAnsi="Times New Roman"/>
      <w:kern w:val="0"/>
      <w:sz w:val="24"/>
      <w:szCs w:val="24"/>
      <w:lang w:val="x-none" w:eastAsia="x-none"/>
    </w:rPr>
  </w:style>
  <w:style w:type="character" w:customStyle="1" w:styleId="Char">
    <w:name w:val="正文缩进 Char"/>
    <w:aliases w:val="正文2级 Char,正文（首行缩进两字）1 Char,表正文 Char,正文非缩进 Char,缩进 Char,四号 Char,正文不缩进 Char,特点 Char Char,水上软件 Char,特点标题 Char,特点正文 Char,正文缩进 Char1 Char Char,正文缩进 Char Char Char Char,正文缩进 Char1 Char Char Char Char,正文缩进 Char Char Char Char Char Char,正文普通文字 Char"/>
    <w:link w:val="a3"/>
    <w:uiPriority w:val="99"/>
    <w:rPr>
      <w:rFonts w:ascii="Times New Roman" w:eastAsia="宋体" w:hAnsi="Times New Roman" w:cs="Times New Roman"/>
      <w:kern w:val="0"/>
      <w:sz w:val="24"/>
      <w:szCs w:val="24"/>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link w:val="a5"/>
    <w:uiPriority w:val="99"/>
    <w:rPr>
      <w:sz w:val="18"/>
      <w:szCs w:val="18"/>
    </w:rPr>
  </w:style>
  <w:style w:type="paragraph" w:styleId="a6">
    <w:name w:val="Balloon Text"/>
    <w:basedOn w:val="a"/>
    <w:link w:val="Char2"/>
    <w:uiPriority w:val="99"/>
    <w:semiHidden/>
    <w:unhideWhenUsed/>
    <w:rPr>
      <w:sz w:val="18"/>
      <w:szCs w:val="18"/>
    </w:rPr>
  </w:style>
  <w:style w:type="character" w:customStyle="1" w:styleId="Char2">
    <w:name w:val="批注框文本 Char"/>
    <w:link w:val="a6"/>
    <w:uiPriority w:val="99"/>
    <w:semiHidden/>
    <w:rPr>
      <w:sz w:val="18"/>
      <w:szCs w:val="18"/>
    </w:rPr>
  </w:style>
  <w:style w:type="paragraph" w:styleId="a7">
    <w:name w:val="Revision"/>
    <w:hidden/>
    <w:uiPriority w:val="99"/>
    <w:semiHidden/>
    <w:rPr>
      <w:kern w:val="2"/>
      <w:sz w:val="21"/>
      <w:szCs w:val="22"/>
    </w:rPr>
  </w:style>
  <w:style w:type="paragraph" w:styleId="a8">
    <w:name w:val="Plain Text"/>
    <w:basedOn w:val="a"/>
    <w:link w:val="Char3"/>
    <w:uiPriority w:val="99"/>
    <w:semiHidden/>
    <w:unhideWhenUsed/>
    <w:rPr>
      <w:rFonts w:ascii="宋体" w:hAnsi="Courier New" w:cs="Courier New"/>
      <w:szCs w:val="21"/>
    </w:rPr>
  </w:style>
  <w:style w:type="character" w:customStyle="1" w:styleId="Char3">
    <w:name w:val="纯文本 Char"/>
    <w:link w:val="a8"/>
    <w:uiPriority w:val="99"/>
    <w:semiHidden/>
    <w:rPr>
      <w:rFonts w:ascii="宋体" w:eastAsia="宋体" w:hAnsi="Courier New" w:cs="Courier New"/>
      <w:szCs w:val="21"/>
    </w:rPr>
  </w:style>
  <w:style w:type="character" w:styleId="a9">
    <w:name w:val="annotation reference"/>
    <w:uiPriority w:val="99"/>
    <w:semiHidden/>
    <w:unhideWhenUsed/>
    <w:rPr>
      <w:sz w:val="21"/>
      <w:szCs w:val="21"/>
    </w:rPr>
  </w:style>
  <w:style w:type="paragraph" w:styleId="aa">
    <w:name w:val="annotation text"/>
    <w:basedOn w:val="a"/>
    <w:link w:val="Char4"/>
    <w:uiPriority w:val="99"/>
    <w:unhideWhenUsed/>
    <w:qFormat/>
    <w:pPr>
      <w:jc w:val="left"/>
    </w:pPr>
  </w:style>
  <w:style w:type="character" w:customStyle="1" w:styleId="Char4">
    <w:name w:val="批注文字 Char"/>
    <w:basedOn w:val="a0"/>
    <w:link w:val="aa"/>
    <w:uiPriority w:val="99"/>
    <w:qFormat/>
  </w:style>
  <w:style w:type="paragraph" w:styleId="ab">
    <w:name w:val="annotation subject"/>
    <w:basedOn w:val="aa"/>
    <w:next w:val="aa"/>
    <w:link w:val="Char5"/>
    <w:uiPriority w:val="99"/>
    <w:semiHidden/>
    <w:unhideWhenUsed/>
    <w:rPr>
      <w:b/>
      <w:bCs/>
    </w:rPr>
  </w:style>
  <w:style w:type="character" w:customStyle="1" w:styleId="Char5">
    <w:name w:val="批注主题 Char"/>
    <w:link w:val="ab"/>
    <w:uiPriority w:val="99"/>
    <w:semiHidden/>
    <w:rPr>
      <w:b/>
      <w:bCs/>
    </w:rPr>
  </w:style>
  <w:style w:type="paragraph" w:styleId="ac">
    <w:name w:val="Document Map"/>
    <w:basedOn w:val="a"/>
    <w:link w:val="Char6"/>
    <w:uiPriority w:val="99"/>
    <w:semiHidden/>
    <w:unhideWhenUsed/>
    <w:rPr>
      <w:rFonts w:ascii="宋体"/>
      <w:sz w:val="18"/>
      <w:szCs w:val="18"/>
    </w:rPr>
  </w:style>
  <w:style w:type="character" w:customStyle="1" w:styleId="Char6">
    <w:name w:val="文档结构图 Char"/>
    <w:link w:val="ac"/>
    <w:uiPriority w:val="99"/>
    <w:semiHidden/>
    <w:rPr>
      <w:rFonts w:ascii="宋体" w:eastAsia="宋体"/>
      <w:sz w:val="18"/>
      <w:szCs w:val="18"/>
    </w:rPr>
  </w:style>
  <w:style w:type="paragraph" w:customStyle="1" w:styleId="CharChar">
    <w:name w:val="第四层 （一） Char Char"/>
    <w:link w:val="CharCharChar"/>
    <w:qFormat/>
    <w:pPr>
      <w:spacing w:before="120" w:line="360" w:lineRule="auto"/>
    </w:pPr>
    <w:rPr>
      <w:rFonts w:ascii="Times New Roman" w:hAnsi="Times New Roman"/>
      <w:b/>
      <w:bCs/>
      <w:sz w:val="24"/>
      <w:szCs w:val="24"/>
    </w:rPr>
  </w:style>
  <w:style w:type="character" w:customStyle="1" w:styleId="CharCharChar">
    <w:name w:val="第四层 （一） Char Char Char"/>
    <w:link w:val="CharChar"/>
    <w:qFormat/>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3">
    <w:name w:val="Normal Indent"/>
    <w:aliases w:val="正文2级,正文（首行缩进两字）1,表正文,正文非缩进,缩进,四号,正文不缩进,特点 Char,水上软件,特点标题,特点正文,正文缩进 Char1 Char,正文缩进 Char Char Char,正文缩进 Char1 Char Char Char,正文缩进 Char Char Char Char Char,正文缩进 Char1 Char Char Char Char Char,正文普通文字,EH,正文（首行缩进两字）,正文缩进（首行缩进两字）,首行,标题4,特,s4,文本条"/>
    <w:basedOn w:val="a"/>
    <w:link w:val="Char"/>
    <w:uiPriority w:val="99"/>
    <w:unhideWhenUsed/>
    <w:qFormat/>
    <w:pPr>
      <w:spacing w:beforeLines="50" w:after="40" w:line="360" w:lineRule="auto"/>
      <w:ind w:firstLineChars="200" w:firstLine="420"/>
    </w:pPr>
    <w:rPr>
      <w:rFonts w:ascii="Times New Roman" w:hAnsi="Times New Roman"/>
      <w:kern w:val="0"/>
      <w:sz w:val="24"/>
      <w:szCs w:val="24"/>
      <w:lang w:val="x-none" w:eastAsia="x-none"/>
    </w:rPr>
  </w:style>
  <w:style w:type="character" w:customStyle="1" w:styleId="Char">
    <w:name w:val="正文缩进 Char"/>
    <w:aliases w:val="正文2级 Char,正文（首行缩进两字）1 Char,表正文 Char,正文非缩进 Char,缩进 Char,四号 Char,正文不缩进 Char,特点 Char Char,水上软件 Char,特点标题 Char,特点正文 Char,正文缩进 Char1 Char Char,正文缩进 Char Char Char Char,正文缩进 Char1 Char Char Char Char,正文缩进 Char Char Char Char Char Char,正文普通文字 Char"/>
    <w:link w:val="a3"/>
    <w:uiPriority w:val="99"/>
    <w:rPr>
      <w:rFonts w:ascii="Times New Roman" w:eastAsia="宋体" w:hAnsi="Times New Roman" w:cs="Times New Roman"/>
      <w:kern w:val="0"/>
      <w:sz w:val="24"/>
      <w:szCs w:val="24"/>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link w:val="a5"/>
    <w:uiPriority w:val="99"/>
    <w:rPr>
      <w:sz w:val="18"/>
      <w:szCs w:val="18"/>
    </w:rPr>
  </w:style>
  <w:style w:type="paragraph" w:styleId="a6">
    <w:name w:val="Balloon Text"/>
    <w:basedOn w:val="a"/>
    <w:link w:val="Char2"/>
    <w:uiPriority w:val="99"/>
    <w:semiHidden/>
    <w:unhideWhenUsed/>
    <w:rPr>
      <w:sz w:val="18"/>
      <w:szCs w:val="18"/>
    </w:rPr>
  </w:style>
  <w:style w:type="character" w:customStyle="1" w:styleId="Char2">
    <w:name w:val="批注框文本 Char"/>
    <w:link w:val="a6"/>
    <w:uiPriority w:val="99"/>
    <w:semiHidden/>
    <w:rPr>
      <w:sz w:val="18"/>
      <w:szCs w:val="18"/>
    </w:rPr>
  </w:style>
  <w:style w:type="paragraph" w:styleId="a7">
    <w:name w:val="Revision"/>
    <w:hidden/>
    <w:uiPriority w:val="99"/>
    <w:semiHidden/>
    <w:rPr>
      <w:kern w:val="2"/>
      <w:sz w:val="21"/>
      <w:szCs w:val="22"/>
    </w:rPr>
  </w:style>
  <w:style w:type="paragraph" w:styleId="a8">
    <w:name w:val="Plain Text"/>
    <w:basedOn w:val="a"/>
    <w:link w:val="Char3"/>
    <w:uiPriority w:val="99"/>
    <w:semiHidden/>
    <w:unhideWhenUsed/>
    <w:rPr>
      <w:rFonts w:ascii="宋体" w:hAnsi="Courier New" w:cs="Courier New"/>
      <w:szCs w:val="21"/>
    </w:rPr>
  </w:style>
  <w:style w:type="character" w:customStyle="1" w:styleId="Char3">
    <w:name w:val="纯文本 Char"/>
    <w:link w:val="a8"/>
    <w:uiPriority w:val="99"/>
    <w:semiHidden/>
    <w:rPr>
      <w:rFonts w:ascii="宋体" w:eastAsia="宋体" w:hAnsi="Courier New" w:cs="Courier New"/>
      <w:szCs w:val="21"/>
    </w:rPr>
  </w:style>
  <w:style w:type="character" w:styleId="a9">
    <w:name w:val="annotation reference"/>
    <w:uiPriority w:val="99"/>
    <w:semiHidden/>
    <w:unhideWhenUsed/>
    <w:rPr>
      <w:sz w:val="21"/>
      <w:szCs w:val="21"/>
    </w:rPr>
  </w:style>
  <w:style w:type="paragraph" w:styleId="aa">
    <w:name w:val="annotation text"/>
    <w:basedOn w:val="a"/>
    <w:link w:val="Char4"/>
    <w:uiPriority w:val="99"/>
    <w:unhideWhenUsed/>
    <w:qFormat/>
    <w:pPr>
      <w:jc w:val="left"/>
    </w:pPr>
  </w:style>
  <w:style w:type="character" w:customStyle="1" w:styleId="Char4">
    <w:name w:val="批注文字 Char"/>
    <w:basedOn w:val="a0"/>
    <w:link w:val="aa"/>
    <w:uiPriority w:val="99"/>
    <w:qFormat/>
  </w:style>
  <w:style w:type="paragraph" w:styleId="ab">
    <w:name w:val="annotation subject"/>
    <w:basedOn w:val="aa"/>
    <w:next w:val="aa"/>
    <w:link w:val="Char5"/>
    <w:uiPriority w:val="99"/>
    <w:semiHidden/>
    <w:unhideWhenUsed/>
    <w:rPr>
      <w:b/>
      <w:bCs/>
    </w:rPr>
  </w:style>
  <w:style w:type="character" w:customStyle="1" w:styleId="Char5">
    <w:name w:val="批注主题 Char"/>
    <w:link w:val="ab"/>
    <w:uiPriority w:val="99"/>
    <w:semiHidden/>
    <w:rPr>
      <w:b/>
      <w:bCs/>
    </w:rPr>
  </w:style>
  <w:style w:type="paragraph" w:styleId="ac">
    <w:name w:val="Document Map"/>
    <w:basedOn w:val="a"/>
    <w:link w:val="Char6"/>
    <w:uiPriority w:val="99"/>
    <w:semiHidden/>
    <w:unhideWhenUsed/>
    <w:rPr>
      <w:rFonts w:ascii="宋体"/>
      <w:sz w:val="18"/>
      <w:szCs w:val="18"/>
    </w:rPr>
  </w:style>
  <w:style w:type="character" w:customStyle="1" w:styleId="Char6">
    <w:name w:val="文档结构图 Char"/>
    <w:link w:val="ac"/>
    <w:uiPriority w:val="99"/>
    <w:semiHidden/>
    <w:rPr>
      <w:rFonts w:ascii="宋体" w:eastAsia="宋体"/>
      <w:sz w:val="18"/>
      <w:szCs w:val="18"/>
    </w:rPr>
  </w:style>
  <w:style w:type="paragraph" w:customStyle="1" w:styleId="CharChar">
    <w:name w:val="第四层 （一） Char Char"/>
    <w:link w:val="CharCharChar"/>
    <w:qFormat/>
    <w:pPr>
      <w:spacing w:before="120" w:line="360" w:lineRule="auto"/>
    </w:pPr>
    <w:rPr>
      <w:rFonts w:ascii="Times New Roman" w:hAnsi="Times New Roman"/>
      <w:b/>
      <w:bCs/>
      <w:sz w:val="24"/>
      <w:szCs w:val="24"/>
    </w:rPr>
  </w:style>
  <w:style w:type="character" w:customStyle="1" w:styleId="CharCharChar">
    <w:name w:val="第四层 （一） Char Char Char"/>
    <w:link w:val="CharChar"/>
    <w:qFormat/>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7CDA-D260-45EF-AD64-C8251BC2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2020-06-17T02:39:00Z</dcterms:created>
  <dcterms:modified xsi:type="dcterms:W3CDTF">2020-06-27T17:54:00Z</dcterms:modified>
</cp:coreProperties>
</file>