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39" w:rsidRDefault="0081060C">
      <w:pPr>
        <w:spacing w:beforeLines="50" w:before="156" w:line="360" w:lineRule="auto"/>
        <w:jc w:val="center"/>
        <w:rPr>
          <w:rFonts w:ascii="黑体" w:eastAsia="黑体" w:hAnsi="黑体"/>
          <w:sz w:val="30"/>
          <w:szCs w:val="30"/>
        </w:rPr>
      </w:pPr>
      <w:r>
        <w:rPr>
          <w:rFonts w:ascii="黑体" w:eastAsia="黑体" w:hAnsi="黑体" w:hint="eastAsia"/>
          <w:sz w:val="30"/>
          <w:szCs w:val="30"/>
        </w:rPr>
        <w:t>中国国际金融股份有限公司</w:t>
      </w:r>
      <w:r>
        <w:rPr>
          <w:rFonts w:ascii="黑体" w:eastAsia="黑体" w:hAnsi="黑体"/>
          <w:sz w:val="30"/>
          <w:szCs w:val="30"/>
        </w:rPr>
        <w:br/>
      </w:r>
      <w:r>
        <w:rPr>
          <w:rFonts w:ascii="黑体" w:eastAsia="黑体" w:hAnsi="黑体" w:hint="eastAsia"/>
          <w:sz w:val="30"/>
          <w:szCs w:val="30"/>
        </w:rPr>
        <w:t>关于大连港股份有限公司股票价格波动</w:t>
      </w:r>
      <w:r>
        <w:rPr>
          <w:rFonts w:ascii="黑体" w:eastAsia="黑体" w:hAnsi="黑体"/>
          <w:sz w:val="30"/>
          <w:szCs w:val="30"/>
        </w:rPr>
        <w:br/>
      </w:r>
      <w:r>
        <w:rPr>
          <w:rFonts w:ascii="黑体" w:eastAsia="黑体" w:hAnsi="黑体" w:hint="eastAsia"/>
          <w:sz w:val="30"/>
          <w:szCs w:val="30"/>
        </w:rPr>
        <w:t>未达到《</w:t>
      </w:r>
      <w:r>
        <w:rPr>
          <w:rFonts w:ascii="黑体" w:eastAsia="黑体" w:hAnsi="黑体"/>
          <w:sz w:val="30"/>
          <w:szCs w:val="30"/>
        </w:rPr>
        <w:t>关于规范上市公司信息披露及相关各方行为的通知</w:t>
      </w:r>
      <w:r>
        <w:rPr>
          <w:rFonts w:ascii="黑体" w:eastAsia="黑体" w:hAnsi="黑体" w:hint="eastAsia"/>
          <w:sz w:val="30"/>
          <w:szCs w:val="30"/>
        </w:rPr>
        <w:t>》</w:t>
      </w:r>
      <w:r>
        <w:rPr>
          <w:rFonts w:ascii="黑体" w:eastAsia="黑体" w:hAnsi="黑体"/>
          <w:sz w:val="30"/>
          <w:szCs w:val="30"/>
        </w:rPr>
        <w:t>第五条相关标准的核查意见</w:t>
      </w:r>
    </w:p>
    <w:p w:rsidR="00A32E39" w:rsidRDefault="00A32E39">
      <w:pPr>
        <w:spacing w:beforeLines="50" w:before="156" w:afterLines="100" w:after="312"/>
        <w:rPr>
          <w:rFonts w:ascii="宋体" w:eastAsia="宋体" w:hAnsi="宋体"/>
          <w:sz w:val="24"/>
          <w:szCs w:val="24"/>
        </w:rPr>
      </w:pPr>
    </w:p>
    <w:p w:rsidR="00A32E39" w:rsidRDefault="0081060C">
      <w:pPr>
        <w:spacing w:beforeLines="50" w:before="156" w:line="360" w:lineRule="auto"/>
        <w:ind w:firstLine="480"/>
        <w:rPr>
          <w:rFonts w:ascii="宋体" w:eastAsia="宋体" w:hAnsi="宋体" w:cs="Times New Roman"/>
          <w:sz w:val="24"/>
          <w:szCs w:val="24"/>
        </w:rPr>
      </w:pPr>
      <w:r>
        <w:rPr>
          <w:rFonts w:ascii="Times New Roman" w:eastAsia="宋体" w:hAnsi="Times New Roman" w:cs="Times New Roman"/>
          <w:sz w:val="24"/>
          <w:szCs w:val="24"/>
        </w:rPr>
        <w:t>根据《关于规范上市公司信息披露及相关各方行为的通知》（证</w:t>
      </w:r>
      <w:proofErr w:type="gramStart"/>
      <w:r>
        <w:rPr>
          <w:rFonts w:ascii="Times New Roman" w:eastAsia="宋体" w:hAnsi="Times New Roman" w:cs="Times New Roman"/>
          <w:sz w:val="24"/>
          <w:szCs w:val="24"/>
        </w:rPr>
        <w:t>监公司字</w:t>
      </w:r>
      <w:proofErr w:type="gramEnd"/>
      <w:r>
        <w:rPr>
          <w:rFonts w:ascii="Times New Roman" w:eastAsia="宋体" w:hAnsi="Times New Roman" w:cs="Times New Roman"/>
          <w:sz w:val="24"/>
          <w:szCs w:val="24"/>
        </w:rPr>
        <w:t>[2007]128</w:t>
      </w:r>
      <w:r>
        <w:rPr>
          <w:rFonts w:ascii="Times New Roman" w:eastAsia="宋体" w:hAnsi="Times New Roman" w:cs="Times New Roman"/>
          <w:sz w:val="24"/>
          <w:szCs w:val="24"/>
        </w:rPr>
        <w:t>号）第五条规定：</w:t>
      </w:r>
      <w:r>
        <w:rPr>
          <w:rFonts w:ascii="宋体" w:eastAsia="宋体" w:hAnsi="宋体" w:cs="Times New Roman"/>
          <w:sz w:val="24"/>
          <w:szCs w:val="24"/>
        </w:rPr>
        <w:t>“剔除大盘因素和同行业板块因素影响，上市公司股价在股价敏感重大</w:t>
      </w:r>
      <w:r>
        <w:rPr>
          <w:rFonts w:ascii="Times New Roman" w:eastAsia="宋体" w:hAnsi="Times New Roman" w:cs="Times New Roman"/>
          <w:sz w:val="24"/>
          <w:szCs w:val="24"/>
        </w:rPr>
        <w:t>信息公布前</w:t>
      </w:r>
      <w:r>
        <w:rPr>
          <w:rFonts w:ascii="Times New Roman" w:eastAsia="宋体" w:hAnsi="Times New Roman" w:cs="Times New Roman"/>
          <w:sz w:val="24"/>
          <w:szCs w:val="24"/>
        </w:rPr>
        <w:t>20</w:t>
      </w:r>
      <w:r>
        <w:rPr>
          <w:rFonts w:ascii="Times New Roman" w:eastAsia="宋体" w:hAnsi="Times New Roman" w:cs="Times New Roman"/>
          <w:sz w:val="24"/>
          <w:szCs w:val="24"/>
        </w:rPr>
        <w:t>个交易日内累计涨跌幅超过</w:t>
      </w:r>
      <w:r>
        <w:rPr>
          <w:rFonts w:ascii="Times New Roman" w:eastAsia="宋体" w:hAnsi="Times New Roman" w:cs="Times New Roman"/>
          <w:sz w:val="24"/>
          <w:szCs w:val="24"/>
        </w:rPr>
        <w:t>20%</w:t>
      </w:r>
      <w:r>
        <w:rPr>
          <w:rFonts w:ascii="Times New Roman" w:eastAsia="宋体" w:hAnsi="Times New Roman" w:cs="Times New Roman"/>
          <w:sz w:val="24"/>
          <w:szCs w:val="24"/>
        </w:rPr>
        <w:t>的，上市公司在向中国证监会提起行政许可申请时，应充分举证相关内幕信息知情人及直系亲属等不存在内幕交易行为。证券交易所应对公司股价敏感重大信息公布</w:t>
      </w:r>
      <w:proofErr w:type="gramStart"/>
      <w:r>
        <w:rPr>
          <w:rFonts w:ascii="Times New Roman" w:eastAsia="宋体" w:hAnsi="Times New Roman" w:cs="Times New Roman"/>
          <w:sz w:val="24"/>
          <w:szCs w:val="24"/>
        </w:rPr>
        <w:t>前股票</w:t>
      </w:r>
      <w:proofErr w:type="gramEnd"/>
      <w:r>
        <w:rPr>
          <w:rFonts w:ascii="Times New Roman" w:eastAsia="宋体" w:hAnsi="Times New Roman" w:cs="Times New Roman"/>
          <w:sz w:val="24"/>
          <w:szCs w:val="24"/>
        </w:rPr>
        <w:t>交易是否存在异常行为进行专项分析，并报中国证监会。中国证监会可对上市公</w:t>
      </w:r>
      <w:r>
        <w:rPr>
          <w:rFonts w:ascii="宋体" w:eastAsia="宋体" w:hAnsi="宋体" w:cs="Times New Roman"/>
          <w:sz w:val="24"/>
          <w:szCs w:val="24"/>
        </w:rPr>
        <w:t>司股价异动行为进行调查，调查期间将暂缓审核上市公司的行政许可申请。”</w:t>
      </w:r>
    </w:p>
    <w:p w:rsidR="00A32E39" w:rsidRDefault="004052DD">
      <w:pPr>
        <w:spacing w:beforeLines="50" w:before="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大连港股份有限公司（以下</w:t>
      </w:r>
      <w:r w:rsidRPr="0074280B">
        <w:rPr>
          <w:rFonts w:ascii="宋体" w:eastAsia="宋体" w:hAnsi="宋体" w:cs="Times New Roman" w:hint="eastAsia"/>
          <w:sz w:val="24"/>
          <w:szCs w:val="24"/>
        </w:rPr>
        <w:t>简称</w:t>
      </w:r>
      <w:r w:rsidRPr="0074280B">
        <w:rPr>
          <w:rFonts w:ascii="宋体" w:eastAsia="宋体" w:hAnsi="宋体" w:cs="Times New Roman"/>
          <w:sz w:val="24"/>
          <w:szCs w:val="24"/>
        </w:rPr>
        <w:t>“</w:t>
      </w:r>
      <w:r>
        <w:rPr>
          <w:rFonts w:ascii="宋体" w:eastAsia="宋体" w:hAnsi="宋体" w:cs="Times New Roman" w:hint="eastAsia"/>
          <w:sz w:val="24"/>
          <w:szCs w:val="24"/>
        </w:rPr>
        <w:t>大连港</w:t>
      </w:r>
      <w:r w:rsidRPr="0074280B">
        <w:rPr>
          <w:rFonts w:ascii="宋体" w:eastAsia="宋体" w:hAnsi="宋体" w:cs="Times New Roman"/>
          <w:sz w:val="24"/>
          <w:szCs w:val="24"/>
        </w:rPr>
        <w:t>”</w:t>
      </w:r>
      <w:r w:rsidRPr="0074280B">
        <w:rPr>
          <w:rFonts w:ascii="宋体" w:eastAsia="宋体" w:hAnsi="宋体" w:cs="Times New Roman" w:hint="eastAsia"/>
          <w:sz w:val="24"/>
          <w:szCs w:val="24"/>
        </w:rPr>
        <w:t>）</w:t>
      </w:r>
      <w:r>
        <w:rPr>
          <w:rFonts w:ascii="Times New Roman" w:eastAsia="宋体" w:hAnsi="Times New Roman" w:cs="Times New Roman"/>
          <w:sz w:val="24"/>
          <w:szCs w:val="24"/>
        </w:rPr>
        <w:t>拟通过向营口港务股份有限公司</w:t>
      </w:r>
      <w:r>
        <w:rPr>
          <w:rFonts w:ascii="Times New Roman" w:eastAsia="宋体" w:hAnsi="Times New Roman" w:cs="Times New Roman" w:hint="eastAsia"/>
          <w:sz w:val="24"/>
          <w:szCs w:val="24"/>
        </w:rPr>
        <w:t>（以下简称“营口港”）</w:t>
      </w:r>
      <w:r>
        <w:rPr>
          <w:rFonts w:ascii="Times New Roman" w:eastAsia="宋体" w:hAnsi="Times New Roman" w:cs="Times New Roman"/>
          <w:sz w:val="24"/>
          <w:szCs w:val="24"/>
        </w:rPr>
        <w:t>全体股东发行</w:t>
      </w:r>
      <w:r>
        <w:rPr>
          <w:rFonts w:ascii="Times New Roman" w:eastAsia="宋体" w:hAnsi="Times New Roman" w:cs="Times New Roman"/>
          <w:sz w:val="24"/>
          <w:szCs w:val="24"/>
        </w:rPr>
        <w:t>A</w:t>
      </w:r>
      <w:r>
        <w:rPr>
          <w:rFonts w:ascii="Times New Roman" w:eastAsia="宋体" w:hAnsi="Times New Roman" w:cs="Times New Roman"/>
          <w:sz w:val="24"/>
          <w:szCs w:val="24"/>
        </w:rPr>
        <w:t>股股票</w:t>
      </w:r>
      <w:r>
        <w:rPr>
          <w:rFonts w:ascii="Times New Roman" w:eastAsia="宋体" w:hAnsi="Times New Roman" w:cs="Times New Roman" w:hint="eastAsia"/>
          <w:sz w:val="24"/>
          <w:szCs w:val="24"/>
        </w:rPr>
        <w:t>的方式换股</w:t>
      </w:r>
      <w:r>
        <w:rPr>
          <w:rFonts w:ascii="Times New Roman" w:eastAsia="宋体" w:hAnsi="Times New Roman" w:cs="Times New Roman"/>
          <w:sz w:val="24"/>
          <w:szCs w:val="24"/>
        </w:rPr>
        <w:t>吸收合并营口港</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募集</w:t>
      </w:r>
      <w:r>
        <w:rPr>
          <w:rFonts w:ascii="Times New Roman" w:eastAsia="宋体" w:hAnsi="Times New Roman" w:cs="Times New Roman" w:hint="eastAsia"/>
          <w:sz w:val="24"/>
          <w:szCs w:val="24"/>
        </w:rPr>
        <w:t>配套</w:t>
      </w:r>
      <w:r>
        <w:rPr>
          <w:rFonts w:ascii="Times New Roman" w:eastAsia="宋体" w:hAnsi="Times New Roman" w:cs="Times New Roman"/>
          <w:sz w:val="24"/>
          <w:szCs w:val="24"/>
        </w:rPr>
        <w:t>资金（以下简称</w:t>
      </w:r>
      <w:r w:rsidRPr="0074280B">
        <w:rPr>
          <w:rFonts w:ascii="宋体" w:eastAsia="宋体" w:hAnsi="宋体" w:cs="Times New Roman"/>
          <w:sz w:val="24"/>
          <w:szCs w:val="24"/>
        </w:rPr>
        <w:t>“</w:t>
      </w:r>
      <w:r w:rsidRPr="0074280B">
        <w:rPr>
          <w:rFonts w:ascii="宋体" w:eastAsia="宋体" w:hAnsi="宋体" w:cs="Times New Roman" w:hint="eastAsia"/>
          <w:sz w:val="24"/>
          <w:szCs w:val="24"/>
        </w:rPr>
        <w:t>本次交易</w:t>
      </w:r>
      <w:r w:rsidRPr="0074280B">
        <w:rPr>
          <w:rFonts w:ascii="宋体" w:eastAsia="宋体" w:hAnsi="宋体" w:cs="Times New Roman"/>
          <w:sz w:val="24"/>
          <w:szCs w:val="24"/>
        </w:rPr>
        <w:t>”</w:t>
      </w:r>
      <w:r>
        <w:rPr>
          <w:rFonts w:ascii="宋体" w:eastAsia="宋体" w:hAnsi="宋体" w:cs="Times New Roman" w:hint="eastAsia"/>
          <w:sz w:val="24"/>
          <w:szCs w:val="24"/>
        </w:rPr>
        <w:t>）</w:t>
      </w:r>
      <w:r w:rsidR="0081060C">
        <w:rPr>
          <w:rFonts w:ascii="Times New Roman" w:eastAsia="宋体" w:hAnsi="Times New Roman" w:cs="Times New Roman"/>
          <w:sz w:val="24"/>
          <w:szCs w:val="24"/>
        </w:rPr>
        <w:t>，经向上海证券交易所申请，大连港</w:t>
      </w:r>
      <w:r w:rsidR="0081060C">
        <w:rPr>
          <w:rFonts w:ascii="Times New Roman" w:eastAsia="宋体" w:hAnsi="Times New Roman" w:cs="Times New Roman" w:hint="eastAsia"/>
          <w:sz w:val="24"/>
          <w:szCs w:val="24"/>
        </w:rPr>
        <w:t>A</w:t>
      </w:r>
      <w:r w:rsidR="0081060C">
        <w:rPr>
          <w:rFonts w:ascii="Times New Roman" w:eastAsia="宋体" w:hAnsi="Times New Roman" w:cs="Times New Roman" w:hint="eastAsia"/>
          <w:sz w:val="24"/>
          <w:szCs w:val="24"/>
        </w:rPr>
        <w:t>股</w:t>
      </w:r>
      <w:r w:rsidR="0081060C">
        <w:rPr>
          <w:rFonts w:ascii="Times New Roman" w:eastAsia="宋体" w:hAnsi="Times New Roman" w:cs="Times New Roman"/>
          <w:sz w:val="24"/>
          <w:szCs w:val="24"/>
        </w:rPr>
        <w:t>股票自</w:t>
      </w:r>
      <w:r w:rsidR="0081060C">
        <w:rPr>
          <w:rFonts w:ascii="Times New Roman" w:eastAsia="宋体" w:hAnsi="Times New Roman" w:cs="Times New Roman"/>
          <w:sz w:val="24"/>
          <w:szCs w:val="24"/>
        </w:rPr>
        <w:t>2020</w:t>
      </w:r>
      <w:r w:rsidR="0081060C">
        <w:rPr>
          <w:rFonts w:ascii="Times New Roman" w:eastAsia="宋体" w:hAnsi="Times New Roman" w:cs="Times New Roman"/>
          <w:sz w:val="24"/>
          <w:szCs w:val="24"/>
        </w:rPr>
        <w:t>年</w:t>
      </w:r>
      <w:r w:rsidR="0081060C">
        <w:rPr>
          <w:rFonts w:ascii="Times New Roman" w:eastAsia="宋体" w:hAnsi="Times New Roman" w:cs="Times New Roman"/>
          <w:sz w:val="24"/>
          <w:szCs w:val="24"/>
        </w:rPr>
        <w:t>6</w:t>
      </w:r>
      <w:r w:rsidR="0081060C">
        <w:rPr>
          <w:rFonts w:ascii="Times New Roman" w:eastAsia="宋体" w:hAnsi="Times New Roman" w:cs="Times New Roman"/>
          <w:sz w:val="24"/>
          <w:szCs w:val="24"/>
        </w:rPr>
        <w:t>月</w:t>
      </w:r>
      <w:r w:rsidR="0081060C">
        <w:rPr>
          <w:rFonts w:ascii="Times New Roman" w:eastAsia="宋体" w:hAnsi="Times New Roman" w:cs="Times New Roman" w:hint="eastAsia"/>
          <w:sz w:val="24"/>
          <w:szCs w:val="24"/>
        </w:rPr>
        <w:t>22</w:t>
      </w:r>
      <w:r w:rsidR="0081060C">
        <w:rPr>
          <w:rFonts w:ascii="Times New Roman" w:eastAsia="宋体" w:hAnsi="Times New Roman" w:cs="Times New Roman"/>
          <w:sz w:val="24"/>
          <w:szCs w:val="24"/>
        </w:rPr>
        <w:t>日开市起停牌。</w:t>
      </w:r>
      <w:r w:rsidR="00BD34DF">
        <w:rPr>
          <w:rFonts w:ascii="Times New Roman" w:eastAsia="宋体" w:hAnsi="Times New Roman" w:cs="Times New Roman"/>
          <w:sz w:val="24"/>
          <w:szCs w:val="24"/>
        </w:rPr>
        <w:t xml:space="preserve"> </w:t>
      </w:r>
    </w:p>
    <w:p w:rsidR="00A32E39" w:rsidRDefault="0081060C">
      <w:pPr>
        <w:spacing w:beforeLines="50" w:before="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中国国际金融股份有限公司（以下简</w:t>
      </w:r>
      <w:r>
        <w:rPr>
          <w:rFonts w:ascii="宋体" w:eastAsia="宋体" w:hAnsi="宋体" w:cs="Times New Roman"/>
          <w:sz w:val="24"/>
          <w:szCs w:val="24"/>
        </w:rPr>
        <w:t>称“独立财务顾问”）作为大连港本次</w:t>
      </w:r>
      <w:r w:rsidR="003F6DB8">
        <w:rPr>
          <w:rFonts w:ascii="宋体" w:eastAsia="宋体" w:hAnsi="宋体" w:cs="Times New Roman"/>
          <w:sz w:val="24"/>
          <w:szCs w:val="24"/>
        </w:rPr>
        <w:t>交易</w:t>
      </w:r>
      <w:r>
        <w:rPr>
          <w:rFonts w:ascii="宋体" w:eastAsia="宋体" w:hAnsi="宋体" w:cs="Times New Roman"/>
          <w:sz w:val="24"/>
          <w:szCs w:val="24"/>
        </w:rPr>
        <w:t>的独立财务顾问，对《大连港股份有限公司</w:t>
      </w:r>
      <w:r>
        <w:rPr>
          <w:rFonts w:ascii="宋体" w:eastAsia="宋体" w:hAnsi="宋体" w:cs="Times New Roman" w:hint="eastAsia"/>
          <w:sz w:val="24"/>
          <w:szCs w:val="24"/>
        </w:rPr>
        <w:t>董事会关于</w:t>
      </w:r>
      <w:r>
        <w:rPr>
          <w:rFonts w:ascii="宋体" w:eastAsia="宋体" w:hAnsi="宋体" w:cs="Times New Roman"/>
          <w:sz w:val="24"/>
          <w:szCs w:val="24"/>
        </w:rPr>
        <w:t>公司股票价格波动未达到&lt;关于规范上市公司信息披露及相关各方行为的通知&gt;第五条相关标准的说明》</w:t>
      </w:r>
      <w:r>
        <w:rPr>
          <w:rFonts w:ascii="Times New Roman" w:eastAsia="宋体" w:hAnsi="Times New Roman" w:cs="Times New Roman"/>
          <w:sz w:val="24"/>
          <w:szCs w:val="24"/>
        </w:rPr>
        <w:t>进行了核查，大连港</w:t>
      </w:r>
      <w:r w:rsidR="00827F78">
        <w:rPr>
          <w:rFonts w:ascii="Times New Roman" w:eastAsia="宋体" w:hAnsi="Times New Roman" w:cs="Times New Roman" w:hint="eastAsia"/>
          <w:sz w:val="24"/>
          <w:szCs w:val="24"/>
        </w:rPr>
        <w:t>A</w:t>
      </w:r>
      <w:r w:rsidR="00827F78">
        <w:rPr>
          <w:rFonts w:ascii="Times New Roman" w:eastAsia="宋体" w:hAnsi="Times New Roman" w:cs="Times New Roman" w:hint="eastAsia"/>
          <w:sz w:val="24"/>
          <w:szCs w:val="24"/>
        </w:rPr>
        <w:t>股</w:t>
      </w:r>
      <w:r w:rsidR="00827F78">
        <w:rPr>
          <w:rFonts w:ascii="Times New Roman" w:eastAsia="宋体" w:hAnsi="Times New Roman" w:cs="Times New Roman"/>
          <w:sz w:val="24"/>
          <w:szCs w:val="24"/>
        </w:rPr>
        <w:t>股票</w:t>
      </w:r>
      <w:r w:rsidR="00042C1B">
        <w:rPr>
          <w:rFonts w:ascii="Times New Roman" w:eastAsia="宋体" w:hAnsi="Times New Roman" w:cs="Times New Roman"/>
          <w:sz w:val="24"/>
          <w:szCs w:val="24"/>
        </w:rPr>
        <w:t>在停牌前</w:t>
      </w:r>
      <w:r w:rsidR="00042C1B">
        <w:rPr>
          <w:rFonts w:ascii="Times New Roman" w:eastAsia="宋体" w:hAnsi="Times New Roman" w:cs="Times New Roman"/>
          <w:sz w:val="24"/>
          <w:szCs w:val="24"/>
        </w:rPr>
        <w:t>20</w:t>
      </w:r>
      <w:r w:rsidR="00042C1B">
        <w:rPr>
          <w:rFonts w:ascii="Times New Roman" w:eastAsia="宋体" w:hAnsi="Times New Roman" w:cs="Times New Roman"/>
          <w:sz w:val="24"/>
          <w:szCs w:val="24"/>
        </w:rPr>
        <w:t>个交易日</w:t>
      </w:r>
      <w:r w:rsidR="00042C1B">
        <w:rPr>
          <w:rFonts w:ascii="Times New Roman" w:eastAsia="宋体" w:hAnsi="Times New Roman" w:cs="Times New Roman" w:hint="eastAsia"/>
          <w:sz w:val="24"/>
          <w:szCs w:val="24"/>
        </w:rPr>
        <w:t>期间的涨跌幅</w:t>
      </w:r>
      <w:r w:rsidR="00042C1B">
        <w:rPr>
          <w:rFonts w:ascii="Times New Roman" w:eastAsia="宋体" w:hAnsi="Times New Roman" w:cs="Times New Roman"/>
          <w:sz w:val="24"/>
          <w:szCs w:val="24"/>
        </w:rPr>
        <w:t>情况，</w:t>
      </w:r>
      <w:r w:rsidR="00042C1B">
        <w:rPr>
          <w:rFonts w:ascii="Times New Roman" w:eastAsia="宋体" w:hAnsi="Times New Roman" w:cs="Times New Roman" w:hint="eastAsia"/>
          <w:sz w:val="24"/>
          <w:szCs w:val="24"/>
        </w:rPr>
        <w:t>以及</w:t>
      </w:r>
      <w:r w:rsidR="00042C1B">
        <w:rPr>
          <w:rFonts w:ascii="Times New Roman" w:eastAsia="宋体" w:hAnsi="Times New Roman" w:cs="Times New Roman"/>
          <w:sz w:val="24"/>
          <w:szCs w:val="24"/>
        </w:rPr>
        <w:t>同期大盘指数</w:t>
      </w:r>
      <w:r w:rsidR="00042C1B">
        <w:rPr>
          <w:rFonts w:ascii="Times New Roman" w:eastAsia="宋体" w:hAnsi="Times New Roman" w:cs="Times New Roman" w:hint="eastAsia"/>
          <w:sz w:val="24"/>
          <w:szCs w:val="24"/>
        </w:rPr>
        <w:t>、</w:t>
      </w:r>
      <w:r w:rsidR="00042C1B">
        <w:rPr>
          <w:rFonts w:ascii="Times New Roman" w:eastAsia="宋体" w:hAnsi="Times New Roman" w:cs="Times New Roman"/>
          <w:sz w:val="24"/>
          <w:szCs w:val="24"/>
        </w:rPr>
        <w:t>行业指数</w:t>
      </w:r>
      <w:r w:rsidR="00042C1B">
        <w:rPr>
          <w:rFonts w:ascii="Times New Roman" w:eastAsia="宋体" w:hAnsi="Times New Roman" w:cs="Times New Roman" w:hint="eastAsia"/>
          <w:sz w:val="24"/>
          <w:szCs w:val="24"/>
        </w:rPr>
        <w:t>的</w:t>
      </w:r>
      <w:r w:rsidR="00042C1B">
        <w:rPr>
          <w:rFonts w:ascii="Times New Roman" w:eastAsia="宋体" w:hAnsi="Times New Roman" w:cs="Times New Roman"/>
          <w:sz w:val="24"/>
          <w:szCs w:val="24"/>
        </w:rPr>
        <w:t>涨跌幅情况如下</w:t>
      </w:r>
      <w:r w:rsidR="00042C1B">
        <w:rPr>
          <w:rFonts w:ascii="Times New Roman" w:eastAsia="宋体" w:hAnsi="Times New Roman" w:cs="Times New Roman" w:hint="eastAsia"/>
          <w:sz w:val="24"/>
          <w:szCs w:val="24"/>
        </w:rPr>
        <w:t>：</w:t>
      </w:r>
    </w:p>
    <w:tbl>
      <w:tblPr>
        <w:tblStyle w:val="a5"/>
        <w:tblW w:w="8217" w:type="dxa"/>
        <w:tblLayout w:type="fixed"/>
        <w:tblLook w:val="04A0" w:firstRow="1" w:lastRow="0" w:firstColumn="1" w:lastColumn="0" w:noHBand="0" w:noVBand="1"/>
      </w:tblPr>
      <w:tblGrid>
        <w:gridCol w:w="2802"/>
        <w:gridCol w:w="2409"/>
        <w:gridCol w:w="2127"/>
        <w:gridCol w:w="879"/>
      </w:tblGrid>
      <w:tr w:rsidR="003A632D" w:rsidRPr="0074280B" w:rsidTr="00784FFD">
        <w:tc>
          <w:tcPr>
            <w:tcW w:w="2802" w:type="dxa"/>
            <w:vAlign w:val="center"/>
          </w:tcPr>
          <w:p w:rsidR="003A632D" w:rsidRPr="0074280B" w:rsidRDefault="003A632D" w:rsidP="00784FFD">
            <w:pPr>
              <w:jc w:val="center"/>
              <w:rPr>
                <w:rFonts w:ascii="Times New Roman" w:eastAsia="宋体" w:hAnsi="Times New Roman" w:cs="Times New Roman"/>
                <w:b/>
                <w:szCs w:val="21"/>
              </w:rPr>
            </w:pPr>
            <w:r w:rsidRPr="0074280B">
              <w:rPr>
                <w:rFonts w:ascii="Times New Roman" w:eastAsia="宋体" w:hAnsi="Times New Roman" w:cs="Times New Roman" w:hint="eastAsia"/>
                <w:b/>
                <w:szCs w:val="21"/>
              </w:rPr>
              <w:t>项目</w:t>
            </w:r>
          </w:p>
        </w:tc>
        <w:tc>
          <w:tcPr>
            <w:tcW w:w="2409" w:type="dxa"/>
            <w:vAlign w:val="center"/>
          </w:tcPr>
          <w:p w:rsidR="003A632D" w:rsidRPr="0074280B" w:rsidRDefault="003A632D" w:rsidP="00784FFD">
            <w:pPr>
              <w:jc w:val="center"/>
              <w:rPr>
                <w:rFonts w:ascii="Times New Roman" w:eastAsia="宋体" w:hAnsi="Times New Roman" w:cs="Times New Roman"/>
                <w:b/>
                <w:szCs w:val="21"/>
              </w:rPr>
            </w:pPr>
            <w:r w:rsidRPr="0074280B">
              <w:rPr>
                <w:rFonts w:ascii="Times New Roman" w:eastAsia="宋体" w:hAnsi="Times New Roman" w:cs="Times New Roman" w:hint="eastAsia"/>
                <w:b/>
                <w:szCs w:val="21"/>
              </w:rPr>
              <w:t>停牌前第</w:t>
            </w:r>
            <w:r w:rsidRPr="0074280B">
              <w:rPr>
                <w:rFonts w:ascii="Times New Roman" w:eastAsia="宋体" w:hAnsi="Times New Roman" w:cs="Times New Roman" w:hint="eastAsia"/>
                <w:b/>
                <w:szCs w:val="21"/>
              </w:rPr>
              <w:t>21</w:t>
            </w:r>
            <w:r w:rsidRPr="0074280B">
              <w:rPr>
                <w:rFonts w:ascii="Times New Roman" w:eastAsia="宋体" w:hAnsi="Times New Roman" w:cs="Times New Roman" w:hint="eastAsia"/>
                <w:b/>
                <w:szCs w:val="21"/>
              </w:rPr>
              <w:t>个交易日（</w:t>
            </w:r>
            <w:r w:rsidRPr="0074280B">
              <w:rPr>
                <w:rFonts w:ascii="Times New Roman" w:eastAsia="宋体" w:hAnsi="Times New Roman" w:cs="Times New Roman" w:hint="eastAsia"/>
                <w:b/>
                <w:szCs w:val="21"/>
              </w:rPr>
              <w:t>2020</w:t>
            </w:r>
            <w:r w:rsidRPr="0074280B">
              <w:rPr>
                <w:rFonts w:ascii="Times New Roman" w:eastAsia="宋体" w:hAnsi="Times New Roman" w:cs="Times New Roman" w:hint="eastAsia"/>
                <w:b/>
                <w:szCs w:val="21"/>
              </w:rPr>
              <w:t>年</w:t>
            </w:r>
            <w:r w:rsidRPr="0074280B">
              <w:rPr>
                <w:rFonts w:ascii="Times New Roman" w:eastAsia="宋体" w:hAnsi="Times New Roman" w:cs="Times New Roman" w:hint="eastAsia"/>
                <w:b/>
                <w:szCs w:val="21"/>
              </w:rPr>
              <w:t>5</w:t>
            </w:r>
            <w:r w:rsidRPr="0074280B">
              <w:rPr>
                <w:rFonts w:ascii="Times New Roman" w:eastAsia="宋体" w:hAnsi="Times New Roman" w:cs="Times New Roman" w:hint="eastAsia"/>
                <w:b/>
                <w:szCs w:val="21"/>
              </w:rPr>
              <w:t>月</w:t>
            </w:r>
            <w:r w:rsidRPr="0074280B">
              <w:rPr>
                <w:rFonts w:ascii="Times New Roman" w:eastAsia="宋体" w:hAnsi="Times New Roman" w:cs="Times New Roman" w:hint="eastAsia"/>
                <w:b/>
                <w:szCs w:val="21"/>
              </w:rPr>
              <w:t>22</w:t>
            </w:r>
            <w:r w:rsidRPr="0074280B">
              <w:rPr>
                <w:rFonts w:ascii="Times New Roman" w:eastAsia="宋体" w:hAnsi="Times New Roman" w:cs="Times New Roman" w:hint="eastAsia"/>
                <w:b/>
                <w:szCs w:val="21"/>
              </w:rPr>
              <w:t>日）</w:t>
            </w:r>
          </w:p>
        </w:tc>
        <w:tc>
          <w:tcPr>
            <w:tcW w:w="2127" w:type="dxa"/>
            <w:vAlign w:val="center"/>
          </w:tcPr>
          <w:p w:rsidR="003A632D" w:rsidRPr="0074280B" w:rsidRDefault="003A632D" w:rsidP="00784FFD">
            <w:pPr>
              <w:jc w:val="center"/>
              <w:rPr>
                <w:rFonts w:ascii="Times New Roman" w:eastAsia="宋体" w:hAnsi="Times New Roman" w:cs="Times New Roman"/>
                <w:b/>
                <w:szCs w:val="21"/>
              </w:rPr>
            </w:pPr>
            <w:r w:rsidRPr="0074280B">
              <w:rPr>
                <w:rFonts w:ascii="Times New Roman" w:eastAsia="宋体" w:hAnsi="Times New Roman" w:cs="Times New Roman" w:hint="eastAsia"/>
                <w:b/>
                <w:szCs w:val="21"/>
              </w:rPr>
              <w:t>停牌前第</w:t>
            </w:r>
            <w:r w:rsidRPr="0074280B">
              <w:rPr>
                <w:rFonts w:ascii="Times New Roman" w:eastAsia="宋体" w:hAnsi="Times New Roman" w:cs="Times New Roman" w:hint="eastAsia"/>
                <w:b/>
                <w:szCs w:val="21"/>
              </w:rPr>
              <w:t>1</w:t>
            </w:r>
            <w:r w:rsidRPr="0074280B">
              <w:rPr>
                <w:rFonts w:ascii="Times New Roman" w:eastAsia="宋体" w:hAnsi="Times New Roman" w:cs="Times New Roman" w:hint="eastAsia"/>
                <w:b/>
                <w:szCs w:val="21"/>
              </w:rPr>
              <w:t>个交易日（</w:t>
            </w:r>
            <w:r w:rsidRPr="0074280B">
              <w:rPr>
                <w:rFonts w:ascii="Times New Roman" w:eastAsia="宋体" w:hAnsi="Times New Roman" w:cs="Times New Roman" w:hint="eastAsia"/>
                <w:b/>
                <w:szCs w:val="21"/>
              </w:rPr>
              <w:t>2020</w:t>
            </w:r>
            <w:r w:rsidRPr="0074280B">
              <w:rPr>
                <w:rFonts w:ascii="Times New Roman" w:eastAsia="宋体" w:hAnsi="Times New Roman" w:cs="Times New Roman" w:hint="eastAsia"/>
                <w:b/>
                <w:szCs w:val="21"/>
              </w:rPr>
              <w:t>年</w:t>
            </w:r>
            <w:r w:rsidRPr="0074280B">
              <w:rPr>
                <w:rFonts w:ascii="Times New Roman" w:eastAsia="宋体" w:hAnsi="Times New Roman" w:cs="Times New Roman" w:hint="eastAsia"/>
                <w:b/>
                <w:szCs w:val="21"/>
              </w:rPr>
              <w:t>6</w:t>
            </w:r>
            <w:r w:rsidRPr="0074280B">
              <w:rPr>
                <w:rFonts w:ascii="Times New Roman" w:eastAsia="宋体" w:hAnsi="Times New Roman" w:cs="Times New Roman" w:hint="eastAsia"/>
                <w:b/>
                <w:szCs w:val="21"/>
              </w:rPr>
              <w:t>月</w:t>
            </w:r>
            <w:r w:rsidRPr="0074280B">
              <w:rPr>
                <w:rFonts w:ascii="Times New Roman" w:eastAsia="宋体" w:hAnsi="Times New Roman" w:cs="Times New Roman" w:hint="eastAsia"/>
                <w:b/>
                <w:szCs w:val="21"/>
              </w:rPr>
              <w:t>19</w:t>
            </w:r>
            <w:r w:rsidRPr="0074280B">
              <w:rPr>
                <w:rFonts w:ascii="Times New Roman" w:eastAsia="宋体" w:hAnsi="Times New Roman" w:cs="Times New Roman" w:hint="eastAsia"/>
                <w:b/>
                <w:szCs w:val="21"/>
              </w:rPr>
              <w:t>日）</w:t>
            </w:r>
          </w:p>
        </w:tc>
        <w:tc>
          <w:tcPr>
            <w:tcW w:w="879" w:type="dxa"/>
            <w:vAlign w:val="center"/>
          </w:tcPr>
          <w:p w:rsidR="003A632D" w:rsidRPr="0074280B" w:rsidRDefault="003A632D" w:rsidP="00784FFD">
            <w:pPr>
              <w:jc w:val="center"/>
              <w:rPr>
                <w:rFonts w:ascii="Times New Roman" w:eastAsia="宋体" w:hAnsi="Times New Roman" w:cs="Times New Roman"/>
                <w:b/>
                <w:szCs w:val="21"/>
              </w:rPr>
            </w:pPr>
            <w:r w:rsidRPr="0074280B">
              <w:rPr>
                <w:rFonts w:ascii="Times New Roman" w:eastAsia="宋体" w:hAnsi="Times New Roman" w:cs="Times New Roman" w:hint="eastAsia"/>
                <w:b/>
                <w:szCs w:val="21"/>
              </w:rPr>
              <w:t>涨跌幅</w:t>
            </w:r>
          </w:p>
        </w:tc>
      </w:tr>
      <w:tr w:rsidR="003A632D" w:rsidRPr="0074280B" w:rsidTr="00784FFD">
        <w:tc>
          <w:tcPr>
            <w:tcW w:w="2802" w:type="dxa"/>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大连港</w:t>
            </w:r>
            <w:r w:rsidRPr="0074280B">
              <w:rPr>
                <w:rFonts w:ascii="Times New Roman" w:eastAsia="宋体" w:hAnsi="Times New Roman" w:cs="Times New Roman" w:hint="eastAsia"/>
                <w:szCs w:val="21"/>
              </w:rPr>
              <w:t>A</w:t>
            </w:r>
            <w:r w:rsidRPr="0074280B">
              <w:rPr>
                <w:rFonts w:ascii="Times New Roman" w:eastAsia="宋体" w:hAnsi="Times New Roman" w:cs="Times New Roman" w:hint="eastAsia"/>
                <w:szCs w:val="21"/>
              </w:rPr>
              <w:t>股收盘价（元</w:t>
            </w:r>
            <w:r w:rsidRPr="0074280B">
              <w:rPr>
                <w:rFonts w:ascii="Times New Roman" w:eastAsia="宋体" w:hAnsi="Times New Roman" w:cs="Times New Roman" w:hint="eastAsia"/>
                <w:szCs w:val="21"/>
              </w:rPr>
              <w:t>/</w:t>
            </w:r>
            <w:r w:rsidRPr="0074280B">
              <w:rPr>
                <w:rFonts w:ascii="Times New Roman" w:eastAsia="宋体" w:hAnsi="Times New Roman" w:cs="Times New Roman" w:hint="eastAsia"/>
                <w:szCs w:val="21"/>
              </w:rPr>
              <w:t>股）</w:t>
            </w:r>
          </w:p>
        </w:tc>
        <w:tc>
          <w:tcPr>
            <w:tcW w:w="240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szCs w:val="21"/>
              </w:rPr>
              <w:t>1.70</w:t>
            </w:r>
          </w:p>
        </w:tc>
        <w:tc>
          <w:tcPr>
            <w:tcW w:w="2127"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szCs w:val="21"/>
              </w:rPr>
              <w:t>1.72</w:t>
            </w:r>
          </w:p>
        </w:tc>
        <w:tc>
          <w:tcPr>
            <w:tcW w:w="87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1.18%</w:t>
            </w:r>
          </w:p>
        </w:tc>
      </w:tr>
      <w:tr w:rsidR="003A632D" w:rsidRPr="0074280B" w:rsidTr="00784FFD">
        <w:tc>
          <w:tcPr>
            <w:tcW w:w="2802" w:type="dxa"/>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szCs w:val="21"/>
              </w:rPr>
              <w:t>上证综</w:t>
            </w:r>
            <w:r w:rsidRPr="0074280B">
              <w:rPr>
                <w:rFonts w:ascii="Times New Roman" w:eastAsia="宋体" w:hAnsi="Times New Roman" w:cs="Times New Roman" w:hint="eastAsia"/>
                <w:szCs w:val="21"/>
              </w:rPr>
              <w:t>指（</w:t>
            </w:r>
            <w:r w:rsidRPr="0074280B">
              <w:rPr>
                <w:rFonts w:ascii="Times New Roman" w:eastAsia="宋体" w:hAnsi="Times New Roman" w:cs="Times New Roman" w:hint="eastAsia"/>
                <w:szCs w:val="21"/>
              </w:rPr>
              <w:t>000001.SH</w:t>
            </w:r>
            <w:r w:rsidRPr="0074280B">
              <w:rPr>
                <w:rFonts w:ascii="Times New Roman" w:eastAsia="宋体" w:hAnsi="Times New Roman" w:cs="Times New Roman" w:hint="eastAsia"/>
                <w:szCs w:val="21"/>
              </w:rPr>
              <w:t>）</w:t>
            </w:r>
          </w:p>
        </w:tc>
        <w:tc>
          <w:tcPr>
            <w:tcW w:w="240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2,813.77</w:t>
            </w:r>
          </w:p>
        </w:tc>
        <w:tc>
          <w:tcPr>
            <w:tcW w:w="2127"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2,967.63</w:t>
            </w:r>
          </w:p>
        </w:tc>
        <w:tc>
          <w:tcPr>
            <w:tcW w:w="87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5.47%</w:t>
            </w:r>
          </w:p>
        </w:tc>
      </w:tr>
      <w:tr w:rsidR="003A632D" w:rsidRPr="0074280B" w:rsidTr="00784FFD">
        <w:tc>
          <w:tcPr>
            <w:tcW w:w="2802" w:type="dxa"/>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港口</w:t>
            </w:r>
            <w:r w:rsidRPr="0074280B">
              <w:rPr>
                <w:rFonts w:ascii="Times New Roman" w:eastAsia="宋体" w:hAnsi="Times New Roman" w:cs="Times New Roman"/>
                <w:szCs w:val="21"/>
              </w:rPr>
              <w:t>指数</w:t>
            </w:r>
            <w:r w:rsidRPr="0074280B">
              <w:rPr>
                <w:rFonts w:ascii="Times New Roman" w:eastAsia="宋体" w:hAnsi="Times New Roman" w:cs="Times New Roman" w:hint="eastAsia"/>
                <w:szCs w:val="21"/>
              </w:rPr>
              <w:t>（</w:t>
            </w:r>
            <w:r w:rsidRPr="0074280B">
              <w:rPr>
                <w:rFonts w:ascii="Times New Roman" w:eastAsia="宋体" w:hAnsi="Times New Roman" w:cs="Times New Roman" w:hint="eastAsia"/>
                <w:szCs w:val="21"/>
              </w:rPr>
              <w:t>886031.WI</w:t>
            </w:r>
            <w:r w:rsidRPr="0074280B">
              <w:rPr>
                <w:rFonts w:ascii="Times New Roman" w:eastAsia="宋体" w:hAnsi="Times New Roman" w:cs="Times New Roman" w:hint="eastAsia"/>
                <w:szCs w:val="21"/>
              </w:rPr>
              <w:t>）</w:t>
            </w:r>
          </w:p>
        </w:tc>
        <w:tc>
          <w:tcPr>
            <w:tcW w:w="240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3,574.46</w:t>
            </w:r>
          </w:p>
        </w:tc>
        <w:tc>
          <w:tcPr>
            <w:tcW w:w="2127"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3,823.81</w:t>
            </w:r>
          </w:p>
        </w:tc>
        <w:tc>
          <w:tcPr>
            <w:tcW w:w="87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6.98%</w:t>
            </w:r>
          </w:p>
        </w:tc>
      </w:tr>
      <w:tr w:rsidR="003A632D" w:rsidRPr="0074280B" w:rsidTr="00784FFD">
        <w:tc>
          <w:tcPr>
            <w:tcW w:w="2802" w:type="dxa"/>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剔除大盘因素影响后涨跌幅</w:t>
            </w:r>
          </w:p>
        </w:tc>
        <w:tc>
          <w:tcPr>
            <w:tcW w:w="240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w:t>
            </w:r>
          </w:p>
        </w:tc>
        <w:tc>
          <w:tcPr>
            <w:tcW w:w="2127"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w:t>
            </w:r>
          </w:p>
        </w:tc>
        <w:tc>
          <w:tcPr>
            <w:tcW w:w="87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-4.29%</w:t>
            </w:r>
          </w:p>
        </w:tc>
      </w:tr>
      <w:tr w:rsidR="003A632D" w:rsidRPr="0074280B" w:rsidTr="00784FFD">
        <w:tc>
          <w:tcPr>
            <w:tcW w:w="2802" w:type="dxa"/>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剔除行业板块因素影响后涨跌幅</w:t>
            </w:r>
          </w:p>
        </w:tc>
        <w:tc>
          <w:tcPr>
            <w:tcW w:w="240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w:t>
            </w:r>
          </w:p>
        </w:tc>
        <w:tc>
          <w:tcPr>
            <w:tcW w:w="2127"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eastAsia="宋体" w:hAnsi="Times New Roman" w:cs="Times New Roman" w:hint="eastAsia"/>
                <w:szCs w:val="21"/>
              </w:rPr>
              <w:t>/</w:t>
            </w:r>
          </w:p>
        </w:tc>
        <w:tc>
          <w:tcPr>
            <w:tcW w:w="879" w:type="dxa"/>
            <w:vAlign w:val="center"/>
          </w:tcPr>
          <w:p w:rsidR="003A632D" w:rsidRPr="0074280B" w:rsidRDefault="003A632D" w:rsidP="00784FFD">
            <w:pPr>
              <w:jc w:val="center"/>
              <w:rPr>
                <w:rFonts w:ascii="Times New Roman" w:eastAsia="宋体" w:hAnsi="Times New Roman" w:cs="Times New Roman"/>
                <w:szCs w:val="21"/>
              </w:rPr>
            </w:pPr>
            <w:r w:rsidRPr="0074280B">
              <w:rPr>
                <w:rFonts w:ascii="Times New Roman" w:hAnsi="Times New Roman" w:cs="Times New Roman" w:hint="eastAsia"/>
                <w:szCs w:val="21"/>
              </w:rPr>
              <w:t>-5.80%</w:t>
            </w:r>
          </w:p>
        </w:tc>
      </w:tr>
    </w:tbl>
    <w:p w:rsidR="00A32E39" w:rsidRPr="00050D64" w:rsidRDefault="0081060C" w:rsidP="00050D64">
      <w:pPr>
        <w:spacing w:line="360" w:lineRule="auto"/>
        <w:rPr>
          <w:rFonts w:ascii="Times New Roman" w:eastAsia="宋体" w:hAnsi="Times New Roman" w:cs="Times New Roman"/>
          <w:sz w:val="18"/>
          <w:szCs w:val="18"/>
        </w:rPr>
      </w:pPr>
      <w:r w:rsidRPr="00050D64">
        <w:rPr>
          <w:rFonts w:ascii="Times New Roman" w:eastAsia="宋体" w:hAnsi="Times New Roman" w:cs="Times New Roman"/>
          <w:sz w:val="18"/>
          <w:szCs w:val="18"/>
        </w:rPr>
        <w:lastRenderedPageBreak/>
        <w:t>数据来源：</w:t>
      </w:r>
      <w:r w:rsidRPr="00050D64">
        <w:rPr>
          <w:rFonts w:ascii="Times New Roman" w:eastAsia="宋体" w:hAnsi="Times New Roman" w:cs="Times New Roman"/>
          <w:sz w:val="18"/>
          <w:szCs w:val="18"/>
        </w:rPr>
        <w:t>Wind</w:t>
      </w:r>
    </w:p>
    <w:p w:rsidR="00A32E39" w:rsidRDefault="003A632D">
      <w:pPr>
        <w:spacing w:beforeLines="50" w:before="156"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综上所述，在分别剔除同期大盘因素（上</w:t>
      </w:r>
      <w:r>
        <w:rPr>
          <w:rFonts w:ascii="Times New Roman" w:eastAsia="宋体" w:hAnsi="Times New Roman" w:cs="Times New Roman"/>
          <w:sz w:val="24"/>
          <w:szCs w:val="24"/>
        </w:rPr>
        <w:t>证综指</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000001.SH</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同期行业板块因素</w:t>
      </w:r>
      <w:r>
        <w:rPr>
          <w:rFonts w:ascii="Times New Roman" w:eastAsia="宋体" w:hAnsi="Times New Roman" w:cs="Times New Roman" w:hint="eastAsia"/>
          <w:sz w:val="24"/>
          <w:szCs w:val="24"/>
        </w:rPr>
        <w:t>（港口</w:t>
      </w:r>
      <w:r>
        <w:rPr>
          <w:rFonts w:ascii="Times New Roman" w:eastAsia="宋体" w:hAnsi="Times New Roman" w:cs="Times New Roman"/>
          <w:sz w:val="24"/>
          <w:szCs w:val="24"/>
        </w:rPr>
        <w:t>指数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8</w:t>
      </w:r>
      <w:r>
        <w:rPr>
          <w:rFonts w:ascii="Times New Roman" w:eastAsia="宋体" w:hAnsi="Times New Roman" w:cs="Times New Roman"/>
          <w:sz w:val="24"/>
          <w:szCs w:val="24"/>
        </w:rPr>
        <w:t>86031.WI</w:t>
      </w:r>
      <w:r>
        <w:rPr>
          <w:rFonts w:ascii="Times New Roman" w:eastAsia="宋体" w:hAnsi="Times New Roman" w:cs="Times New Roman"/>
          <w:sz w:val="24"/>
          <w:szCs w:val="24"/>
        </w:rPr>
        <w:t>）</w:t>
      </w:r>
      <w:r w:rsidR="00F0167B">
        <w:rPr>
          <w:rFonts w:ascii="Times New Roman" w:eastAsia="宋体" w:hAnsi="Times New Roman" w:cs="Times New Roman" w:hint="eastAsia"/>
          <w:sz w:val="24"/>
          <w:szCs w:val="24"/>
        </w:rPr>
        <w:t>后，大连港</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股股票在停牌前</w:t>
      </w:r>
      <w:r>
        <w:rPr>
          <w:rFonts w:ascii="Times New Roman" w:eastAsia="宋体" w:hAnsi="Times New Roman" w:cs="Times New Roman"/>
          <w:sz w:val="24"/>
          <w:szCs w:val="24"/>
        </w:rPr>
        <w:t>20</w:t>
      </w:r>
      <w:r>
        <w:rPr>
          <w:rFonts w:ascii="Times New Roman" w:eastAsia="宋体" w:hAnsi="Times New Roman" w:cs="Times New Roman"/>
          <w:sz w:val="24"/>
          <w:szCs w:val="24"/>
        </w:rPr>
        <w:t>个交易日内</w:t>
      </w:r>
      <w:r>
        <w:rPr>
          <w:rFonts w:ascii="Times New Roman" w:eastAsia="宋体" w:hAnsi="Times New Roman" w:cs="Times New Roman" w:hint="eastAsia"/>
          <w:sz w:val="24"/>
          <w:szCs w:val="24"/>
        </w:rPr>
        <w:t>累计涨跌幅均未超过</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，股票价格波动未达到</w:t>
      </w:r>
      <w:r>
        <w:rPr>
          <w:rFonts w:ascii="Times New Roman" w:eastAsia="宋体" w:hAnsi="Times New Roman" w:cs="Times New Roman"/>
          <w:sz w:val="24"/>
          <w:szCs w:val="24"/>
        </w:rPr>
        <w:t>《关于规范上市公司信息披露及相关各方行为的通知</w:t>
      </w:r>
      <w:r>
        <w:rPr>
          <w:rFonts w:ascii="Times New Roman" w:eastAsia="宋体" w:hAnsi="Times New Roman" w:cs="Times New Roman" w:hint="eastAsia"/>
          <w:sz w:val="24"/>
          <w:szCs w:val="24"/>
        </w:rPr>
        <w:t>》（证</w:t>
      </w:r>
      <w:proofErr w:type="gramStart"/>
      <w:r>
        <w:rPr>
          <w:rFonts w:ascii="Times New Roman" w:eastAsia="宋体" w:hAnsi="Times New Roman" w:cs="Times New Roman" w:hint="eastAsia"/>
          <w:sz w:val="24"/>
          <w:szCs w:val="24"/>
        </w:rPr>
        <w:t>监公司字</w:t>
      </w:r>
      <w:proofErr w:type="gramEnd"/>
      <w:r>
        <w:rPr>
          <w:rFonts w:ascii="Times New Roman" w:eastAsia="宋体" w:hAnsi="Times New Roman" w:cs="Times New Roman"/>
          <w:sz w:val="24"/>
          <w:szCs w:val="24"/>
        </w:rPr>
        <w:t>[2007]128</w:t>
      </w:r>
      <w:r>
        <w:rPr>
          <w:rFonts w:ascii="Times New Roman" w:eastAsia="宋体" w:hAnsi="Times New Roman" w:cs="Times New Roman"/>
          <w:sz w:val="24"/>
          <w:szCs w:val="24"/>
        </w:rPr>
        <w:t>号）第五条规定的相关标准</w:t>
      </w:r>
      <w:r>
        <w:rPr>
          <w:rFonts w:ascii="Times New Roman" w:eastAsia="宋体" w:hAnsi="Times New Roman" w:cs="Times New Roman" w:hint="eastAsia"/>
          <w:sz w:val="24"/>
          <w:szCs w:val="24"/>
        </w:rPr>
        <w:t>。</w:t>
      </w:r>
    </w:p>
    <w:p w:rsidR="00A32E39" w:rsidRDefault="0081060C">
      <w:pPr>
        <w:spacing w:beforeLines="50" w:before="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经核查，独立财务顾问认为，大连港本次</w:t>
      </w:r>
      <w:r w:rsidR="00AF77CE">
        <w:rPr>
          <w:rFonts w:ascii="Times New Roman" w:eastAsia="宋体" w:hAnsi="Times New Roman" w:cs="Times New Roman" w:hint="eastAsia"/>
          <w:sz w:val="24"/>
          <w:szCs w:val="24"/>
        </w:rPr>
        <w:t>交易</w:t>
      </w:r>
      <w:r>
        <w:rPr>
          <w:rFonts w:ascii="Times New Roman" w:eastAsia="宋体" w:hAnsi="Times New Roman" w:cs="Times New Roman"/>
          <w:sz w:val="24"/>
          <w:szCs w:val="24"/>
        </w:rPr>
        <w:t>停牌前</w:t>
      </w:r>
      <w:r w:rsidR="0097047A">
        <w:rPr>
          <w:rFonts w:ascii="Times New Roman" w:eastAsia="宋体" w:hAnsi="Times New Roman" w:cs="Times New Roman"/>
          <w:sz w:val="24"/>
          <w:szCs w:val="24"/>
        </w:rPr>
        <w:t>的</w:t>
      </w:r>
      <w:r w:rsidR="00BF0446">
        <w:rPr>
          <w:rFonts w:ascii="Times New Roman" w:eastAsia="宋体" w:hAnsi="Times New Roman" w:cs="Times New Roman" w:hint="eastAsia"/>
          <w:sz w:val="24"/>
          <w:szCs w:val="24"/>
        </w:rPr>
        <w:t>A</w:t>
      </w:r>
      <w:r w:rsidR="00BF0446">
        <w:rPr>
          <w:rFonts w:ascii="Times New Roman" w:eastAsia="宋体" w:hAnsi="Times New Roman" w:cs="Times New Roman" w:hint="eastAsia"/>
          <w:sz w:val="24"/>
          <w:szCs w:val="24"/>
        </w:rPr>
        <w:t>股</w:t>
      </w:r>
      <w:r>
        <w:rPr>
          <w:rFonts w:ascii="Times New Roman" w:eastAsia="宋体" w:hAnsi="Times New Roman" w:cs="Times New Roman"/>
          <w:sz w:val="24"/>
          <w:szCs w:val="24"/>
        </w:rPr>
        <w:t>股票价格波动未达到《关于规范上市公司信息披露及相关各方行为的通知》（证</w:t>
      </w:r>
      <w:proofErr w:type="gramStart"/>
      <w:r>
        <w:rPr>
          <w:rFonts w:ascii="Times New Roman" w:eastAsia="宋体" w:hAnsi="Times New Roman" w:cs="Times New Roman"/>
          <w:sz w:val="24"/>
          <w:szCs w:val="24"/>
        </w:rPr>
        <w:t>监公司字</w:t>
      </w:r>
      <w:proofErr w:type="gramEnd"/>
      <w:r>
        <w:rPr>
          <w:rFonts w:ascii="Times New Roman" w:eastAsia="宋体" w:hAnsi="Times New Roman" w:cs="Times New Roman"/>
          <w:sz w:val="24"/>
          <w:szCs w:val="24"/>
        </w:rPr>
        <w:t>[2007]128</w:t>
      </w:r>
      <w:r>
        <w:rPr>
          <w:rFonts w:ascii="Times New Roman" w:eastAsia="宋体" w:hAnsi="Times New Roman" w:cs="Times New Roman"/>
          <w:sz w:val="24"/>
          <w:szCs w:val="24"/>
        </w:rPr>
        <w:t>号）第五条规定的相关标准。</w:t>
      </w:r>
    </w:p>
    <w:p w:rsidR="00A32E39" w:rsidRDefault="0081060C">
      <w:pPr>
        <w:spacing w:beforeLines="50" w:before="156" w:line="360" w:lineRule="auto"/>
        <w:ind w:firstLine="480"/>
        <w:rPr>
          <w:rFonts w:ascii="宋体" w:eastAsia="宋体" w:hAnsi="宋体"/>
          <w:sz w:val="24"/>
          <w:szCs w:val="24"/>
        </w:rPr>
      </w:pPr>
      <w:r>
        <w:rPr>
          <w:rFonts w:ascii="Times New Roman" w:eastAsia="宋体" w:hAnsi="Times New Roman" w:cs="Times New Roman"/>
          <w:sz w:val="24"/>
          <w:szCs w:val="24"/>
        </w:rPr>
        <w:t>特此说明。</w:t>
      </w:r>
      <w:r>
        <w:rPr>
          <w:rFonts w:ascii="Times New Roman" w:eastAsia="宋体" w:hAnsi="Times New Roman" w:cs="Times New Roman"/>
          <w:sz w:val="24"/>
          <w:szCs w:val="24"/>
        </w:rPr>
        <w:cr/>
      </w:r>
    </w:p>
    <w:p w:rsidR="00A32E39" w:rsidRDefault="0081060C">
      <w:pPr>
        <w:spacing w:beforeLines="50" w:before="156" w:line="360" w:lineRule="auto"/>
        <w:ind w:firstLine="480"/>
        <w:rPr>
          <w:rFonts w:ascii="宋体" w:eastAsia="宋体" w:hAnsi="宋体"/>
          <w:sz w:val="24"/>
          <w:szCs w:val="24"/>
        </w:rPr>
      </w:pPr>
      <w:r>
        <w:rPr>
          <w:rFonts w:ascii="宋体" w:eastAsia="宋体" w:hAnsi="宋体" w:hint="eastAsia"/>
          <w:sz w:val="24"/>
          <w:szCs w:val="24"/>
        </w:rPr>
        <w:t>（以下无正文）</w:t>
      </w:r>
    </w:p>
    <w:p w:rsidR="00A32E39" w:rsidRDefault="0081060C">
      <w:pPr>
        <w:widowControl/>
        <w:jc w:val="left"/>
        <w:rPr>
          <w:rFonts w:ascii="宋体" w:eastAsia="宋体" w:hAnsi="宋体"/>
          <w:sz w:val="24"/>
          <w:szCs w:val="24"/>
        </w:rPr>
      </w:pPr>
      <w:r>
        <w:rPr>
          <w:rFonts w:ascii="宋体" w:eastAsia="宋体" w:hAnsi="宋体"/>
          <w:sz w:val="24"/>
          <w:szCs w:val="24"/>
        </w:rPr>
        <w:br w:type="page"/>
      </w:r>
    </w:p>
    <w:p w:rsidR="00A32E39" w:rsidRDefault="0081060C">
      <w:pPr>
        <w:spacing w:beforeLines="50" w:before="156" w:line="360" w:lineRule="auto"/>
        <w:rPr>
          <w:rFonts w:ascii="宋体" w:eastAsia="宋体" w:hAnsi="宋体"/>
          <w:sz w:val="24"/>
          <w:szCs w:val="24"/>
        </w:rPr>
      </w:pPr>
      <w:r>
        <w:rPr>
          <w:rFonts w:ascii="宋体" w:eastAsia="宋体" w:hAnsi="宋体" w:hint="eastAsia"/>
          <w:sz w:val="24"/>
          <w:szCs w:val="24"/>
        </w:rPr>
        <w:lastRenderedPageBreak/>
        <w:t>（本页无正文，为《中国国际金融股份有限公司关于大连港股份有限公司股票价格波动未达到&lt;关于规范上市公司信息披露及相关各方行为的通知&gt;第五条相关标准的核查意见》</w:t>
      </w:r>
      <w:r>
        <w:rPr>
          <w:rFonts w:ascii="宋体" w:eastAsia="宋体" w:hAnsi="宋体"/>
          <w:sz w:val="24"/>
          <w:szCs w:val="24"/>
        </w:rPr>
        <w:t>之</w:t>
      </w:r>
      <w:r w:rsidR="00227CC8">
        <w:rPr>
          <w:rFonts w:ascii="宋体" w:eastAsia="宋体" w:hAnsi="宋体" w:hint="eastAsia"/>
          <w:sz w:val="24"/>
          <w:szCs w:val="24"/>
        </w:rPr>
        <w:t>签章</w:t>
      </w:r>
      <w:r>
        <w:rPr>
          <w:rFonts w:ascii="宋体" w:eastAsia="宋体" w:hAnsi="宋体"/>
          <w:sz w:val="24"/>
          <w:szCs w:val="24"/>
        </w:rPr>
        <w:t>页）</w:t>
      </w:r>
    </w:p>
    <w:p w:rsidR="00A32E39" w:rsidRDefault="00A32E39">
      <w:pPr>
        <w:spacing w:beforeLines="50" w:before="156" w:line="360" w:lineRule="auto"/>
        <w:ind w:firstLine="480"/>
        <w:rPr>
          <w:rFonts w:ascii="宋体" w:eastAsia="宋体" w:hAnsi="宋体"/>
          <w:sz w:val="24"/>
          <w:szCs w:val="24"/>
        </w:rPr>
      </w:pPr>
    </w:p>
    <w:p w:rsidR="00A32E39" w:rsidRDefault="0081060C">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独立财务顾问主办人：</w:t>
      </w:r>
      <w:r>
        <w:rPr>
          <w:rFonts w:ascii="宋体" w:eastAsia="宋体" w:hAnsi="宋体" w:cs="Times New Roman"/>
          <w:sz w:val="24"/>
          <w:szCs w:val="24"/>
        </w:rPr>
        <w:t>____________________   ____________________</w:t>
      </w:r>
    </w:p>
    <w:p w:rsidR="00A32E39" w:rsidRDefault="0081060C">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sidR="00C93CFD">
        <w:rPr>
          <w:rFonts w:ascii="宋体" w:eastAsia="宋体" w:hAnsi="宋体" w:cs="Times New Roman" w:hint="eastAsia"/>
          <w:sz w:val="24"/>
          <w:szCs w:val="24"/>
        </w:rPr>
        <w:t>谭  笑</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sidR="00C93CFD">
        <w:rPr>
          <w:rFonts w:ascii="宋体" w:eastAsia="宋体" w:hAnsi="宋体" w:cs="Times New Roman" w:hint="eastAsia"/>
          <w:sz w:val="24"/>
          <w:szCs w:val="24"/>
        </w:rPr>
        <w:t>吴嘉青</w:t>
      </w:r>
      <w:bookmarkStart w:id="0" w:name="_GoBack"/>
      <w:bookmarkEnd w:id="0"/>
    </w:p>
    <w:p w:rsidR="00A32E39" w:rsidRDefault="00A32E39">
      <w:pPr>
        <w:spacing w:beforeLines="50" w:before="156" w:line="360" w:lineRule="auto"/>
        <w:ind w:firstLine="480"/>
        <w:rPr>
          <w:rFonts w:ascii="宋体" w:eastAsia="宋体" w:hAnsi="宋体"/>
          <w:sz w:val="24"/>
          <w:szCs w:val="24"/>
        </w:rPr>
      </w:pPr>
    </w:p>
    <w:p w:rsidR="00A32E39" w:rsidRDefault="00A32E39">
      <w:pPr>
        <w:spacing w:beforeLines="50" w:before="156" w:line="360" w:lineRule="auto"/>
        <w:ind w:firstLine="480"/>
        <w:rPr>
          <w:rFonts w:ascii="宋体" w:eastAsia="宋体" w:hAnsi="宋体"/>
          <w:sz w:val="24"/>
          <w:szCs w:val="24"/>
        </w:rPr>
      </w:pPr>
    </w:p>
    <w:p w:rsidR="00A32E39" w:rsidRDefault="00A32E39">
      <w:pPr>
        <w:spacing w:beforeLines="50" w:before="156" w:line="360" w:lineRule="auto"/>
        <w:ind w:firstLine="480"/>
        <w:rPr>
          <w:rFonts w:ascii="宋体" w:eastAsia="宋体" w:hAnsi="宋体"/>
          <w:sz w:val="24"/>
          <w:szCs w:val="24"/>
        </w:rPr>
      </w:pPr>
    </w:p>
    <w:p w:rsidR="00A32E39" w:rsidRDefault="0081060C">
      <w:pPr>
        <w:spacing w:beforeLines="50" w:before="156" w:line="360" w:lineRule="auto"/>
        <w:ind w:firstLine="480"/>
        <w:jc w:val="right"/>
        <w:rPr>
          <w:rFonts w:ascii="宋体" w:eastAsia="宋体" w:hAnsi="宋体"/>
          <w:sz w:val="24"/>
          <w:szCs w:val="24"/>
        </w:rPr>
      </w:pPr>
      <w:r>
        <w:rPr>
          <w:rFonts w:ascii="宋体" w:eastAsia="宋体" w:hAnsi="宋体" w:hint="eastAsia"/>
          <w:sz w:val="24"/>
          <w:szCs w:val="24"/>
        </w:rPr>
        <w:t>中国国际金融股份有限公司</w:t>
      </w:r>
    </w:p>
    <w:p w:rsidR="00A32E39" w:rsidRDefault="0081060C">
      <w:pPr>
        <w:spacing w:beforeLines="50" w:before="156" w:line="360" w:lineRule="auto"/>
        <w:ind w:firstLine="480"/>
        <w:jc w:val="right"/>
      </w:pPr>
      <w:r>
        <w:rPr>
          <w:rFonts w:ascii="宋体" w:eastAsia="宋体" w:hAnsi="宋体" w:hint="eastAsia"/>
          <w:sz w:val="24"/>
          <w:szCs w:val="24"/>
        </w:rPr>
        <w:t>年</w:t>
      </w:r>
      <w:r>
        <w:rPr>
          <w:rFonts w:ascii="宋体" w:eastAsia="宋体" w:hAnsi="宋体"/>
          <w:sz w:val="24"/>
          <w:szCs w:val="24"/>
        </w:rPr>
        <w:t xml:space="preserve">   </w:t>
      </w:r>
      <w:r>
        <w:rPr>
          <w:rFonts w:ascii="宋体" w:eastAsia="宋体" w:hAnsi="宋体" w:hint="eastAsia"/>
          <w:sz w:val="24"/>
          <w:szCs w:val="24"/>
        </w:rPr>
        <w:t xml:space="preserve">月 </w:t>
      </w:r>
      <w:r>
        <w:rPr>
          <w:rFonts w:ascii="宋体" w:eastAsia="宋体" w:hAnsi="宋体"/>
          <w:sz w:val="24"/>
          <w:szCs w:val="24"/>
        </w:rPr>
        <w:t xml:space="preserve">  </w:t>
      </w:r>
      <w:r>
        <w:rPr>
          <w:rFonts w:ascii="宋体" w:eastAsia="宋体" w:hAnsi="宋体" w:hint="eastAsia"/>
          <w:sz w:val="24"/>
          <w:szCs w:val="24"/>
        </w:rPr>
        <w:t>日</w:t>
      </w:r>
    </w:p>
    <w:sectPr w:rsidR="00A32E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88" w:rsidRDefault="00917688">
      <w:r>
        <w:separator/>
      </w:r>
    </w:p>
  </w:endnote>
  <w:endnote w:type="continuationSeparator" w:id="0">
    <w:p w:rsidR="00917688" w:rsidRDefault="0091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78604"/>
      <w:docPartObj>
        <w:docPartGallery w:val="Page Numbers (Bottom of Page)"/>
        <w:docPartUnique/>
      </w:docPartObj>
    </w:sdtPr>
    <w:sdtEndPr/>
    <w:sdtContent>
      <w:p w:rsidR="00A32E39" w:rsidRDefault="0081060C">
        <w:pPr>
          <w:pStyle w:val="a4"/>
          <w:jc w:val="center"/>
        </w:pPr>
        <w:r>
          <w:fldChar w:fldCharType="begin"/>
        </w:r>
        <w:r>
          <w:instrText>PAGE   \* MERGEFORMAT</w:instrText>
        </w:r>
        <w:r>
          <w:fldChar w:fldCharType="separate"/>
        </w:r>
        <w:r w:rsidR="00C93CFD" w:rsidRPr="00C93CFD">
          <w:rPr>
            <w:noProof/>
            <w:lang w:val="zh-CN"/>
          </w:rPr>
          <w:t>3</w:t>
        </w:r>
        <w:r>
          <w:fldChar w:fldCharType="end"/>
        </w:r>
      </w:p>
    </w:sdtContent>
  </w:sdt>
  <w:p w:rsidR="00A32E39" w:rsidRDefault="00A32E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88" w:rsidRDefault="00917688">
      <w:r>
        <w:separator/>
      </w:r>
    </w:p>
  </w:footnote>
  <w:footnote w:type="continuationSeparator" w:id="0">
    <w:p w:rsidR="00917688" w:rsidRDefault="0091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39"/>
    <w:rsid w:val="00042C1B"/>
    <w:rsid w:val="00050D64"/>
    <w:rsid w:val="001B2F97"/>
    <w:rsid w:val="00201AE7"/>
    <w:rsid w:val="00227CC8"/>
    <w:rsid w:val="00272745"/>
    <w:rsid w:val="002C648E"/>
    <w:rsid w:val="003723A5"/>
    <w:rsid w:val="003A632D"/>
    <w:rsid w:val="003F6DB8"/>
    <w:rsid w:val="004052DD"/>
    <w:rsid w:val="00413799"/>
    <w:rsid w:val="00495FD4"/>
    <w:rsid w:val="004B65A4"/>
    <w:rsid w:val="00584073"/>
    <w:rsid w:val="0059723A"/>
    <w:rsid w:val="005A3C16"/>
    <w:rsid w:val="00654A29"/>
    <w:rsid w:val="00665A16"/>
    <w:rsid w:val="006C1105"/>
    <w:rsid w:val="00707141"/>
    <w:rsid w:val="00777AE4"/>
    <w:rsid w:val="0081060C"/>
    <w:rsid w:val="0081717F"/>
    <w:rsid w:val="00827F78"/>
    <w:rsid w:val="00855497"/>
    <w:rsid w:val="00917688"/>
    <w:rsid w:val="0097047A"/>
    <w:rsid w:val="00976DD4"/>
    <w:rsid w:val="00A32E39"/>
    <w:rsid w:val="00A4746B"/>
    <w:rsid w:val="00A901EA"/>
    <w:rsid w:val="00AF77CE"/>
    <w:rsid w:val="00B6103E"/>
    <w:rsid w:val="00B834AE"/>
    <w:rsid w:val="00BA5F9A"/>
    <w:rsid w:val="00BC7B9A"/>
    <w:rsid w:val="00BD34DF"/>
    <w:rsid w:val="00BE3034"/>
    <w:rsid w:val="00BF0446"/>
    <w:rsid w:val="00C52219"/>
    <w:rsid w:val="00C93CFD"/>
    <w:rsid w:val="00D82B02"/>
    <w:rsid w:val="00DD3C1C"/>
    <w:rsid w:val="00DE4B6E"/>
    <w:rsid w:val="00E24B1C"/>
    <w:rsid w:val="00F0167B"/>
    <w:rsid w:val="00F566B0"/>
    <w:rsid w:val="00FC5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character" w:styleId="a7">
    <w:name w:val="annotation reference"/>
    <w:basedOn w:val="a0"/>
    <w:uiPriority w:val="99"/>
    <w:semiHidden/>
    <w:unhideWhenUsed/>
    <w:rPr>
      <w:sz w:val="21"/>
      <w:szCs w:val="21"/>
    </w:rPr>
  </w:style>
  <w:style w:type="paragraph" w:styleId="a8">
    <w:name w:val="annotation text"/>
    <w:basedOn w:val="a"/>
    <w:link w:val="Char2"/>
    <w:uiPriority w:val="99"/>
    <w:semiHidden/>
    <w:unhideWhenUsed/>
    <w:pPr>
      <w:jc w:val="left"/>
    </w:pPr>
  </w:style>
  <w:style w:type="character" w:customStyle="1" w:styleId="Char2">
    <w:name w:val="批注文字 Char"/>
    <w:basedOn w:val="a0"/>
    <w:link w:val="a8"/>
    <w:uiPriority w:val="99"/>
    <w:semiHidden/>
  </w:style>
  <w:style w:type="paragraph" w:styleId="a9">
    <w:name w:val="annotation subject"/>
    <w:basedOn w:val="a8"/>
    <w:next w:val="a8"/>
    <w:link w:val="Char3"/>
    <w:uiPriority w:val="99"/>
    <w:semiHidden/>
    <w:unhideWhenUsed/>
    <w:rPr>
      <w:b/>
      <w:bCs/>
    </w:rPr>
  </w:style>
  <w:style w:type="character" w:customStyle="1" w:styleId="Char3">
    <w:name w:val="批注主题 Char"/>
    <w:basedOn w:val="Char2"/>
    <w:link w:val="a9"/>
    <w:uiPriority w:val="99"/>
    <w:semiHidden/>
    <w:rPr>
      <w:b/>
      <w:bCs/>
    </w:rPr>
  </w:style>
  <w:style w:type="paragraph" w:styleId="aa">
    <w:name w:val="Revision"/>
    <w:hidden/>
    <w:uiPriority w:val="99"/>
    <w:semiHidden/>
  </w:style>
  <w:style w:type="character" w:customStyle="1" w:styleId="DefaultChar">
    <w:name w:val="Default Char"/>
    <w:link w:val="Default"/>
    <w:qFormat/>
    <w:locked/>
    <w:rPr>
      <w:rFonts w:ascii="黑体" w:eastAsia="黑体" w:hAnsi="黑体"/>
      <w:color w:val="000000"/>
      <w:sz w:val="24"/>
      <w:szCs w:val="24"/>
    </w:rPr>
  </w:style>
  <w:style w:type="paragraph" w:customStyle="1" w:styleId="Default">
    <w:name w:val="Default"/>
    <w:link w:val="DefaultChar"/>
    <w:qFormat/>
    <w:pPr>
      <w:widowControl w:val="0"/>
      <w:autoSpaceDE w:val="0"/>
      <w:autoSpaceDN w:val="0"/>
      <w:adjustRightInd w:val="0"/>
    </w:pPr>
    <w:rPr>
      <w:rFonts w:ascii="黑体" w:eastAsia="黑体" w:hAnsi="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 w:type="character" w:styleId="a7">
    <w:name w:val="annotation reference"/>
    <w:basedOn w:val="a0"/>
    <w:uiPriority w:val="99"/>
    <w:semiHidden/>
    <w:unhideWhenUsed/>
    <w:rPr>
      <w:sz w:val="21"/>
      <w:szCs w:val="21"/>
    </w:rPr>
  </w:style>
  <w:style w:type="paragraph" w:styleId="a8">
    <w:name w:val="annotation text"/>
    <w:basedOn w:val="a"/>
    <w:link w:val="Char2"/>
    <w:uiPriority w:val="99"/>
    <w:semiHidden/>
    <w:unhideWhenUsed/>
    <w:pPr>
      <w:jc w:val="left"/>
    </w:pPr>
  </w:style>
  <w:style w:type="character" w:customStyle="1" w:styleId="Char2">
    <w:name w:val="批注文字 Char"/>
    <w:basedOn w:val="a0"/>
    <w:link w:val="a8"/>
    <w:uiPriority w:val="99"/>
    <w:semiHidden/>
  </w:style>
  <w:style w:type="paragraph" w:styleId="a9">
    <w:name w:val="annotation subject"/>
    <w:basedOn w:val="a8"/>
    <w:next w:val="a8"/>
    <w:link w:val="Char3"/>
    <w:uiPriority w:val="99"/>
    <w:semiHidden/>
    <w:unhideWhenUsed/>
    <w:rPr>
      <w:b/>
      <w:bCs/>
    </w:rPr>
  </w:style>
  <w:style w:type="character" w:customStyle="1" w:styleId="Char3">
    <w:name w:val="批注主题 Char"/>
    <w:basedOn w:val="Char2"/>
    <w:link w:val="a9"/>
    <w:uiPriority w:val="99"/>
    <w:semiHidden/>
    <w:rPr>
      <w:b/>
      <w:bCs/>
    </w:rPr>
  </w:style>
  <w:style w:type="paragraph" w:styleId="aa">
    <w:name w:val="Revision"/>
    <w:hidden/>
    <w:uiPriority w:val="99"/>
    <w:semiHidden/>
  </w:style>
  <w:style w:type="character" w:customStyle="1" w:styleId="DefaultChar">
    <w:name w:val="Default Char"/>
    <w:link w:val="Default"/>
    <w:qFormat/>
    <w:locked/>
    <w:rPr>
      <w:rFonts w:ascii="黑体" w:eastAsia="黑体" w:hAnsi="黑体"/>
      <w:color w:val="000000"/>
      <w:sz w:val="24"/>
      <w:szCs w:val="24"/>
    </w:rPr>
  </w:style>
  <w:style w:type="paragraph" w:customStyle="1" w:styleId="Default">
    <w:name w:val="Default"/>
    <w:link w:val="DefaultChar"/>
    <w:qFormat/>
    <w:pPr>
      <w:widowControl w:val="0"/>
      <w:autoSpaceDE w:val="0"/>
      <w:autoSpaceDN w:val="0"/>
      <w:adjustRightInd w:val="0"/>
    </w:pPr>
    <w:rPr>
      <w:rFonts w:ascii="黑体" w:eastAsia="黑体" w:hAnsi="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2020-06-17T03:19:00Z</dcterms:created>
  <dcterms:modified xsi:type="dcterms:W3CDTF">2020-06-27T17:56:00Z</dcterms:modified>
</cp:coreProperties>
</file>