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93211" w14:textId="77777777" w:rsidR="00F6355E" w:rsidRPr="00DA1E7C" w:rsidRDefault="008C03FE" w:rsidP="005A1FB7">
      <w:pPr>
        <w:pStyle w:val="Body"/>
        <w:rPr>
          <w:rFonts w:eastAsia="PMingLiU" w:cs="Arial"/>
          <w:i/>
          <w:iCs/>
          <w:sz w:val="24"/>
          <w:lang w:eastAsia="zh-TW"/>
        </w:rPr>
      </w:pPr>
      <w:r w:rsidRPr="00DA1E7C">
        <w:rPr>
          <w:rFonts w:eastAsia="PMingLiU" w:cs="Arial" w:hint="eastAsia"/>
          <w:i/>
          <w:iCs/>
          <w:sz w:val="24"/>
          <w:lang w:eastAsia="zh-TW"/>
        </w:rPr>
        <w:t>本公告僅為提供信息之目的，並不構成取得、購買或認購證券的一項邀請或要約。</w:t>
      </w:r>
    </w:p>
    <w:p w14:paraId="36628D3E" w14:textId="77777777" w:rsidR="00F6355E" w:rsidRPr="00DA1E7C" w:rsidRDefault="008C03FE" w:rsidP="005A1FB7">
      <w:pPr>
        <w:pStyle w:val="Body"/>
        <w:rPr>
          <w:rFonts w:eastAsiaTheme="minorEastAsia" w:cs="Arial"/>
          <w:i/>
          <w:iCs/>
          <w:sz w:val="24"/>
          <w:lang w:eastAsia="zh-TW"/>
        </w:rPr>
      </w:pPr>
      <w:r w:rsidRPr="00DA1E7C">
        <w:rPr>
          <w:rFonts w:eastAsia="PMingLiU" w:cs="Arial" w:hint="eastAsia"/>
          <w:i/>
          <w:iCs/>
          <w:sz w:val="24"/>
          <w:lang w:eastAsia="zh-TW"/>
        </w:rPr>
        <w:t>證券未曾亦將不會按照經修改的美國《</w:t>
      </w:r>
      <w:r w:rsidRPr="00DA1E7C">
        <w:rPr>
          <w:rFonts w:eastAsia="PMingLiU" w:cs="Arial"/>
          <w:i/>
          <w:iCs/>
          <w:sz w:val="24"/>
          <w:lang w:eastAsia="zh-TW"/>
        </w:rPr>
        <w:t>1933</w:t>
      </w:r>
      <w:r w:rsidRPr="00DA1E7C">
        <w:rPr>
          <w:rFonts w:eastAsia="PMingLiU" w:cs="Arial" w:hint="eastAsia"/>
          <w:i/>
          <w:iCs/>
          <w:sz w:val="24"/>
          <w:lang w:eastAsia="zh-TW"/>
        </w:rPr>
        <w:t>年證券法》（「美國證券法」）或美國任何州或其他司法管轄區的證券法予以登記。本公告不得直接或間接於或向美國境内發放。本公告不構成或作爲在美國購買或認購證券的一項要約或招攬的任何部分。</w:t>
      </w:r>
    </w:p>
    <w:p w14:paraId="7DD15FE8" w14:textId="77777777" w:rsidR="00760D96" w:rsidRPr="00DA1E7C" w:rsidRDefault="008C03FE" w:rsidP="005A1FB7">
      <w:pPr>
        <w:pStyle w:val="Body"/>
        <w:rPr>
          <w:rFonts w:eastAsia="PMingLiU" w:cs="Arial"/>
          <w:i/>
          <w:iCs/>
          <w:sz w:val="24"/>
          <w:lang w:val="en-US" w:eastAsia="zh-TW"/>
        </w:rPr>
      </w:pPr>
      <w:r w:rsidRPr="00DA1E7C">
        <w:rPr>
          <w:rFonts w:eastAsia="PMingLiU" w:cs="Arial" w:hint="eastAsia"/>
          <w:i/>
          <w:iCs/>
          <w:sz w:val="24"/>
          <w:lang w:val="en-US" w:eastAsia="zh-TW"/>
        </w:rPr>
        <w:t>香港交易及結算所有限公司</w:t>
      </w:r>
      <w:r w:rsidR="00862BD5" w:rsidRPr="00DA1E7C">
        <w:rPr>
          <w:rFonts w:eastAsia="PMingLiU" w:cs="Arial" w:hint="eastAsia"/>
          <w:i/>
          <w:iCs/>
          <w:sz w:val="24"/>
          <w:lang w:eastAsia="zh-TW"/>
        </w:rPr>
        <w:t>、</w:t>
      </w:r>
      <w:r w:rsidRPr="00DA1E7C">
        <w:rPr>
          <w:rFonts w:eastAsia="PMingLiU" w:cs="Arial" w:hint="eastAsia"/>
          <w:i/>
          <w:iCs/>
          <w:sz w:val="24"/>
          <w:lang w:val="en-US" w:eastAsia="zh-TW"/>
        </w:rPr>
        <w:t>香港聯合交易所有限公司（「香港聯交所」）</w:t>
      </w:r>
      <w:r w:rsidR="00862BD5" w:rsidRPr="00DA1E7C">
        <w:rPr>
          <w:rFonts w:eastAsia="PMingLiU" w:cs="Arial" w:hint="eastAsia"/>
          <w:i/>
          <w:iCs/>
          <w:sz w:val="24"/>
          <w:lang w:val="en-US" w:eastAsia="zh-TW"/>
        </w:rPr>
        <w:t>和香港中央結算有限公司</w:t>
      </w:r>
      <w:r w:rsidRPr="00DA1E7C">
        <w:rPr>
          <w:rFonts w:eastAsia="PMingLiU" w:cs="Arial" w:hint="eastAsia"/>
          <w:i/>
          <w:iCs/>
          <w:sz w:val="24"/>
          <w:lang w:val="en-US" w:eastAsia="zh-TW"/>
        </w:rPr>
        <w:t>對本公告的內容概不負責，對其準確性或完整性亦不發表任何聲明，並明確表示，概不對因本公告全部或任何部分內容而產生或因依賴該等內容而引致的任何損失承擔任何責任。</w:t>
      </w:r>
    </w:p>
    <w:p w14:paraId="6459460F" w14:textId="77777777" w:rsidR="00F43D9F" w:rsidRPr="00DA1E7C" w:rsidRDefault="008C03FE" w:rsidP="005A1FB7">
      <w:pPr>
        <w:pStyle w:val="Body"/>
        <w:rPr>
          <w:rFonts w:eastAsia="PMingLiU" w:cs="Arial"/>
          <w:i/>
          <w:iCs/>
          <w:sz w:val="24"/>
          <w:lang w:eastAsia="zh-TW"/>
        </w:rPr>
      </w:pPr>
      <w:r w:rsidRPr="00DA1E7C">
        <w:rPr>
          <w:rFonts w:eastAsia="PMingLiU" w:cs="Arial" w:hint="eastAsia"/>
          <w:i/>
          <w:iCs/>
          <w:sz w:val="24"/>
          <w:lang w:eastAsia="zh-TW"/>
        </w:rPr>
        <w:t>本公告備有中、英文本。公告的釋義，以中文本為準，英文本僅供參考。公告的中、英文本如有不一致之處，應以中文本為準。</w:t>
      </w:r>
    </w:p>
    <w:p w14:paraId="4FE1942D" w14:textId="77777777" w:rsidR="00F6355E" w:rsidRPr="00DA1E7C" w:rsidRDefault="00C93D77" w:rsidP="005A1FB7">
      <w:pPr>
        <w:pStyle w:val="Body"/>
        <w:rPr>
          <w:rFonts w:eastAsiaTheme="minorEastAsia" w:cs="Arial"/>
          <w:lang w:eastAsia="zh-TW"/>
        </w:rPr>
      </w:pPr>
    </w:p>
    <w:p w14:paraId="1BFE5D50" w14:textId="77777777" w:rsidR="00F92DEA" w:rsidRPr="00DA1E7C" w:rsidRDefault="008C03FE" w:rsidP="004C73DF">
      <w:pPr>
        <w:pStyle w:val="Body"/>
        <w:jc w:val="center"/>
        <w:rPr>
          <w:rFonts w:eastAsia="PMingLiU" w:cs="Arial"/>
          <w:b/>
          <w:bCs/>
          <w:sz w:val="32"/>
          <w:szCs w:val="32"/>
          <w:lang w:eastAsia="zh-TW"/>
        </w:rPr>
      </w:pPr>
      <w:r w:rsidRPr="00DA1E7C">
        <w:rPr>
          <w:rFonts w:eastAsia="PMingLiU" w:cs="Arial" w:hint="eastAsia"/>
          <w:b/>
          <w:bCs/>
          <w:sz w:val="32"/>
          <w:szCs w:val="32"/>
          <w:lang w:eastAsia="zh-TW"/>
        </w:rPr>
        <w:t>於香港聯合交易所有限公司上市之公告</w:t>
      </w:r>
    </w:p>
    <w:p w14:paraId="084E8D2C" w14:textId="77777777" w:rsidR="004C73DF" w:rsidRPr="00DA1E7C" w:rsidRDefault="00C93D77" w:rsidP="005A1FB7">
      <w:pPr>
        <w:pStyle w:val="Body"/>
        <w:rPr>
          <w:rFonts w:cs="Arial"/>
          <w:lang w:eastAsia="zh-TW"/>
        </w:rPr>
      </w:pPr>
    </w:p>
    <w:p w14:paraId="488A92EC" w14:textId="77777777" w:rsidR="00C42F30" w:rsidRPr="00DA1E7C" w:rsidRDefault="008C03FE" w:rsidP="004C73DF">
      <w:pPr>
        <w:pStyle w:val="Body"/>
        <w:jc w:val="center"/>
        <w:rPr>
          <w:rFonts w:eastAsia="PMingLiU" w:cs="Arial"/>
          <w:sz w:val="24"/>
          <w:lang w:eastAsia="zh-TW"/>
        </w:rPr>
      </w:pPr>
      <w:r w:rsidRPr="00DA1E7C">
        <w:rPr>
          <w:rFonts w:eastAsia="PMingLiU" w:cs="Arial" w:hint="eastAsia"/>
          <w:sz w:val="24"/>
          <w:lang w:eastAsia="zh-TW"/>
        </w:rPr>
        <w:t>中華人民共和國財政部</w:t>
      </w:r>
      <w:r w:rsidRPr="00DA1E7C">
        <w:rPr>
          <w:rFonts w:eastAsia="PMingLiU" w:cs="Arial"/>
          <w:sz w:val="24"/>
          <w:lang w:eastAsia="zh-TW"/>
        </w:rPr>
        <w:br/>
      </w:r>
      <w:r w:rsidRPr="00DA1E7C">
        <w:rPr>
          <w:rFonts w:eastAsia="PMingLiU" w:cs="Arial" w:hint="eastAsia"/>
          <w:sz w:val="24"/>
          <w:lang w:eastAsia="zh-TW"/>
        </w:rPr>
        <w:t>（「財政部」）</w:t>
      </w:r>
    </w:p>
    <w:p w14:paraId="07333B95" w14:textId="77777777" w:rsidR="00422F15" w:rsidRPr="00DA1E7C" w:rsidRDefault="008C03FE" w:rsidP="00422F15">
      <w:pPr>
        <w:autoSpaceDE w:val="0"/>
        <w:autoSpaceDN w:val="0"/>
        <w:adjustRightInd w:val="0"/>
        <w:snapToGrid w:val="0"/>
        <w:rPr>
          <w:rFonts w:ascii="PMingLiU" w:eastAsia="PMingLiU" w:hAnsi="PMingLiU" w:cs="PMingLiU"/>
          <w:sz w:val="24"/>
          <w:lang w:val="x-none" w:eastAsia="zh-TW"/>
        </w:rPr>
      </w:pPr>
      <w:r w:rsidRPr="00DA1E7C">
        <w:rPr>
          <w:rFonts w:eastAsiaTheme="minorEastAsia" w:cs="Arial"/>
          <w:sz w:val="32"/>
          <w:szCs w:val="32"/>
          <w:lang w:eastAsia="zh-TW"/>
        </w:rPr>
        <w:br/>
      </w:r>
    </w:p>
    <w:p w14:paraId="5381806B" w14:textId="289514BB" w:rsidR="00422F15" w:rsidRPr="00AD6F59" w:rsidRDefault="00422F15" w:rsidP="00422F15">
      <w:pPr>
        <w:autoSpaceDE w:val="0"/>
        <w:autoSpaceDN w:val="0"/>
        <w:adjustRightInd w:val="0"/>
        <w:snapToGrid w:val="0"/>
        <w:jc w:val="center"/>
        <w:rPr>
          <w:rFonts w:eastAsia="PMingLiU" w:cs="Arial"/>
          <w:kern w:val="20"/>
          <w:sz w:val="24"/>
          <w:lang w:eastAsia="zh-TW"/>
        </w:rPr>
      </w:pPr>
      <w:r w:rsidRPr="00AD6F59">
        <w:rPr>
          <w:rFonts w:eastAsia="PMingLiU" w:cs="Arial" w:hint="eastAsia"/>
          <w:kern w:val="20"/>
          <w:sz w:val="24"/>
          <w:lang w:eastAsia="zh-TW"/>
        </w:rPr>
        <w:t>於</w:t>
      </w:r>
      <w:r w:rsidR="004A43B1">
        <w:rPr>
          <w:rFonts w:eastAsia="PMingLiU" w:cs="Arial"/>
          <w:kern w:val="20"/>
          <w:sz w:val="24"/>
          <w:lang w:eastAsia="zh-TW"/>
        </w:rPr>
        <w:t>2023</w:t>
      </w:r>
      <w:r w:rsidRPr="00AD6F59">
        <w:rPr>
          <w:rFonts w:eastAsia="PMingLiU" w:cs="Arial" w:hint="eastAsia"/>
          <w:kern w:val="20"/>
          <w:sz w:val="24"/>
          <w:lang w:eastAsia="zh-TW"/>
        </w:rPr>
        <w:t>年到期的年利率為</w:t>
      </w:r>
      <w:r w:rsidR="004A43B1">
        <w:rPr>
          <w:rFonts w:eastAsia="PMingLiU" w:cs="Arial"/>
          <w:kern w:val="20"/>
          <w:sz w:val="24"/>
          <w:lang w:eastAsia="zh-TW"/>
        </w:rPr>
        <w:t xml:space="preserve">2.41 </w:t>
      </w:r>
      <w:r w:rsidRPr="00AD6F59">
        <w:rPr>
          <w:rFonts w:eastAsia="PMingLiU" w:cs="Arial" w:hint="eastAsia"/>
          <w:kern w:val="20"/>
          <w:sz w:val="24"/>
          <w:lang w:eastAsia="zh-TW"/>
        </w:rPr>
        <w:t>厘的人民幣</w:t>
      </w:r>
      <w:r w:rsidR="004A43B1">
        <w:rPr>
          <w:rFonts w:eastAsia="PMingLiU" w:cs="Arial"/>
          <w:kern w:val="20"/>
          <w:sz w:val="24"/>
          <w:lang w:eastAsia="zh-TW"/>
        </w:rPr>
        <w:t>45.00</w:t>
      </w:r>
      <w:r w:rsidRPr="00AD6F59">
        <w:rPr>
          <w:rFonts w:eastAsia="PMingLiU" w:cs="Arial" w:hint="eastAsia"/>
          <w:kern w:val="20"/>
          <w:sz w:val="24"/>
          <w:lang w:eastAsia="zh-TW"/>
        </w:rPr>
        <w:t>億元國債（與</w:t>
      </w:r>
      <w:r w:rsidR="004A43B1">
        <w:rPr>
          <w:rFonts w:eastAsia="PMingLiU" w:cs="Arial"/>
          <w:kern w:val="20"/>
          <w:sz w:val="24"/>
          <w:lang w:eastAsia="zh-TW"/>
        </w:rPr>
        <w:t>2023</w:t>
      </w:r>
      <w:r w:rsidRPr="00AD6F59">
        <w:rPr>
          <w:rFonts w:eastAsia="PMingLiU" w:cs="Arial" w:hint="eastAsia"/>
          <w:kern w:val="20"/>
          <w:sz w:val="24"/>
          <w:lang w:eastAsia="zh-TW"/>
        </w:rPr>
        <w:t>年到期的年利率為</w:t>
      </w:r>
      <w:r w:rsidR="004A43B1">
        <w:rPr>
          <w:rFonts w:eastAsia="PMingLiU" w:cs="Arial"/>
          <w:kern w:val="20"/>
          <w:sz w:val="24"/>
          <w:lang w:eastAsia="zh-TW"/>
        </w:rPr>
        <w:t xml:space="preserve">2.41 </w:t>
      </w:r>
      <w:r w:rsidRPr="00AD6F59">
        <w:rPr>
          <w:rFonts w:eastAsia="PMingLiU" w:cs="Arial" w:hint="eastAsia"/>
          <w:kern w:val="20"/>
          <w:sz w:val="24"/>
          <w:lang w:eastAsia="zh-TW"/>
        </w:rPr>
        <w:t>厘的</w:t>
      </w:r>
      <w:r w:rsidR="00E655BF" w:rsidRPr="00AD6F59">
        <w:rPr>
          <w:rFonts w:eastAsia="PMingLiU" w:cs="Arial" w:hint="eastAsia"/>
          <w:kern w:val="20"/>
          <w:sz w:val="24"/>
          <w:lang w:eastAsia="zh-TW"/>
        </w:rPr>
        <w:t>人民幣</w:t>
      </w:r>
      <w:r w:rsidR="004A43B1">
        <w:rPr>
          <w:rFonts w:eastAsia="PMingLiU" w:cs="Arial"/>
          <w:kern w:val="20"/>
          <w:sz w:val="24"/>
          <w:lang w:eastAsia="zh-TW"/>
        </w:rPr>
        <w:t>50.00</w:t>
      </w:r>
      <w:r w:rsidRPr="00AD6F59">
        <w:rPr>
          <w:rFonts w:eastAsia="PMingLiU" w:cs="Arial" w:hint="eastAsia"/>
          <w:kern w:val="20"/>
          <w:sz w:val="24"/>
          <w:lang w:eastAsia="zh-TW"/>
        </w:rPr>
        <w:t>億元國債合併構成</w:t>
      </w:r>
      <w:r w:rsidR="00AD6F59" w:rsidRPr="00AD6F59">
        <w:rPr>
          <w:rFonts w:eastAsia="PMingLiU" w:cs="Arial" w:hint="eastAsia"/>
          <w:kern w:val="20"/>
          <w:sz w:val="24"/>
          <w:lang w:eastAsia="zh-TW"/>
        </w:rPr>
        <w:t>單</w:t>
      </w:r>
      <w:r w:rsidRPr="00AD6F59">
        <w:rPr>
          <w:rFonts w:eastAsia="PMingLiU" w:cs="Arial" w:hint="eastAsia"/>
          <w:kern w:val="20"/>
          <w:sz w:val="24"/>
          <w:lang w:eastAsia="zh-TW"/>
        </w:rPr>
        <w:t>一系列）</w:t>
      </w:r>
    </w:p>
    <w:p w14:paraId="2A28790A" w14:textId="3C99D99A" w:rsidR="00422F15" w:rsidRPr="00AD6F59" w:rsidRDefault="00422F15" w:rsidP="00422F15">
      <w:pPr>
        <w:autoSpaceDE w:val="0"/>
        <w:autoSpaceDN w:val="0"/>
        <w:adjustRightInd w:val="0"/>
        <w:snapToGrid w:val="0"/>
        <w:jc w:val="center"/>
        <w:rPr>
          <w:rFonts w:eastAsia="PMingLiU" w:cs="Arial"/>
          <w:kern w:val="20"/>
          <w:sz w:val="24"/>
          <w:lang w:eastAsia="zh-TW"/>
        </w:rPr>
      </w:pPr>
      <w:r w:rsidRPr="00AD6F59">
        <w:rPr>
          <w:rFonts w:eastAsia="PMingLiU" w:cs="Arial" w:hint="eastAsia"/>
          <w:kern w:val="20"/>
          <w:sz w:val="24"/>
          <w:lang w:eastAsia="zh-TW"/>
        </w:rPr>
        <w:t>發行價格</w:t>
      </w:r>
      <w:r w:rsidRPr="00AD6F59">
        <w:rPr>
          <w:rFonts w:eastAsia="PMingLiU" w:cs="Arial"/>
          <w:kern w:val="20"/>
          <w:sz w:val="24"/>
          <w:lang w:eastAsia="zh-TW"/>
        </w:rPr>
        <w:t xml:space="preserve">: </w:t>
      </w:r>
      <w:r w:rsidR="007E78D0">
        <w:rPr>
          <w:rFonts w:eastAsia="PMingLiU" w:cs="Arial"/>
          <w:kern w:val="20"/>
          <w:sz w:val="24"/>
          <w:lang w:eastAsia="zh-TW"/>
        </w:rPr>
        <w:t>99.82</w:t>
      </w:r>
      <w:r w:rsidRPr="00AD6F59">
        <w:rPr>
          <w:rFonts w:eastAsia="PMingLiU" w:cs="Arial"/>
          <w:kern w:val="20"/>
          <w:sz w:val="24"/>
          <w:lang w:eastAsia="zh-TW"/>
        </w:rPr>
        <w:t>%</w:t>
      </w:r>
    </w:p>
    <w:p w14:paraId="6DB84B3F" w14:textId="69377F46" w:rsidR="00FB3D18" w:rsidRPr="00DA1E7C" w:rsidRDefault="008C03FE" w:rsidP="00422F15">
      <w:pPr>
        <w:pStyle w:val="Body"/>
        <w:jc w:val="center"/>
        <w:rPr>
          <w:rFonts w:eastAsia="PMingLiU" w:cs="Arial"/>
          <w:sz w:val="24"/>
          <w:lang w:eastAsia="zh-TW"/>
        </w:rPr>
      </w:pPr>
      <w:r w:rsidRPr="00DA1E7C">
        <w:rPr>
          <w:rFonts w:eastAsia="PMingLiU" w:cs="Arial" w:hint="eastAsia"/>
          <w:sz w:val="24"/>
          <w:lang w:eastAsia="zh-TW"/>
        </w:rPr>
        <w:t>（上市代碼：</w:t>
      </w:r>
      <w:r w:rsidR="000C2410" w:rsidRPr="000C2410">
        <w:rPr>
          <w:rFonts w:eastAsia="PMingLiU" w:cs="Arial"/>
          <w:sz w:val="24"/>
          <w:lang w:eastAsia="zh-TW"/>
        </w:rPr>
        <w:t>86659</w:t>
      </w:r>
      <w:r w:rsidRPr="00DA1E7C">
        <w:rPr>
          <w:rFonts w:eastAsia="PMingLiU" w:cs="Arial" w:hint="eastAsia"/>
          <w:sz w:val="24"/>
          <w:lang w:eastAsia="zh-TW"/>
        </w:rPr>
        <w:t>）</w:t>
      </w:r>
    </w:p>
    <w:p w14:paraId="522BAF30" w14:textId="7BFCC4E5" w:rsidR="00422F15" w:rsidRPr="00AD6F59" w:rsidRDefault="00422F15" w:rsidP="00422F15">
      <w:pPr>
        <w:autoSpaceDE w:val="0"/>
        <w:autoSpaceDN w:val="0"/>
        <w:adjustRightInd w:val="0"/>
        <w:snapToGrid w:val="0"/>
        <w:jc w:val="center"/>
        <w:rPr>
          <w:rFonts w:eastAsia="PMingLiU" w:cs="Arial"/>
          <w:kern w:val="20"/>
          <w:sz w:val="24"/>
          <w:lang w:eastAsia="zh-TW"/>
        </w:rPr>
      </w:pPr>
      <w:r w:rsidRPr="00AD6F59">
        <w:rPr>
          <w:rFonts w:eastAsia="PMingLiU" w:cs="Arial"/>
          <w:kern w:val="20"/>
          <w:sz w:val="24"/>
          <w:lang w:eastAsia="zh-TW"/>
        </w:rPr>
        <w:t>於</w:t>
      </w:r>
      <w:r w:rsidR="004A43B1">
        <w:rPr>
          <w:rFonts w:eastAsia="PMingLiU" w:cs="Arial"/>
          <w:kern w:val="20"/>
          <w:sz w:val="24"/>
          <w:lang w:eastAsia="zh-TW"/>
        </w:rPr>
        <w:t>2028</w:t>
      </w:r>
      <w:r w:rsidRPr="00AD6F59">
        <w:rPr>
          <w:rFonts w:eastAsia="PMingLiU" w:cs="Arial"/>
          <w:kern w:val="20"/>
          <w:sz w:val="24"/>
          <w:lang w:eastAsia="zh-TW"/>
        </w:rPr>
        <w:t>年到期的年利率為</w:t>
      </w:r>
      <w:r w:rsidR="004A43B1">
        <w:rPr>
          <w:rFonts w:eastAsia="PMingLiU" w:cs="Arial"/>
          <w:kern w:val="20"/>
          <w:sz w:val="24"/>
          <w:lang w:eastAsia="zh-TW"/>
        </w:rPr>
        <w:t>3.60</w:t>
      </w:r>
      <w:r w:rsidRPr="00AD6F59">
        <w:rPr>
          <w:rFonts w:eastAsia="PMingLiU" w:cs="Arial"/>
          <w:kern w:val="20"/>
          <w:sz w:val="24"/>
          <w:lang w:eastAsia="zh-TW"/>
        </w:rPr>
        <w:t>厘的人民幣</w:t>
      </w:r>
      <w:r w:rsidR="00220C64" w:rsidRPr="00AD6F59">
        <w:rPr>
          <w:rFonts w:eastAsia="PMingLiU" w:cs="Arial"/>
          <w:kern w:val="20"/>
          <w:sz w:val="24"/>
          <w:lang w:eastAsia="zh-TW"/>
        </w:rPr>
        <w:t>15.00</w:t>
      </w:r>
      <w:r w:rsidRPr="00AD6F59">
        <w:rPr>
          <w:rFonts w:eastAsia="PMingLiU" w:cs="Arial"/>
          <w:kern w:val="20"/>
          <w:sz w:val="24"/>
          <w:lang w:eastAsia="zh-TW"/>
        </w:rPr>
        <w:t>億元國債（與</w:t>
      </w:r>
      <w:r w:rsidR="004A43B1">
        <w:rPr>
          <w:rFonts w:eastAsia="PMingLiU" w:cs="Arial"/>
          <w:kern w:val="20"/>
          <w:sz w:val="24"/>
          <w:lang w:eastAsia="zh-TW"/>
        </w:rPr>
        <w:t>2028</w:t>
      </w:r>
      <w:r w:rsidRPr="00AD6F59">
        <w:rPr>
          <w:rFonts w:eastAsia="PMingLiU" w:cs="Arial"/>
          <w:kern w:val="20"/>
          <w:sz w:val="24"/>
          <w:lang w:eastAsia="zh-TW"/>
        </w:rPr>
        <w:t>年到期的年利率為</w:t>
      </w:r>
      <w:r w:rsidR="004A43B1">
        <w:rPr>
          <w:rFonts w:eastAsia="PMingLiU" w:cs="Arial"/>
          <w:kern w:val="20"/>
          <w:sz w:val="24"/>
          <w:lang w:eastAsia="zh-TW"/>
        </w:rPr>
        <w:t>3.60</w:t>
      </w:r>
      <w:r w:rsidRPr="00AD6F59">
        <w:rPr>
          <w:rFonts w:eastAsia="PMingLiU" w:cs="Arial"/>
          <w:kern w:val="20"/>
          <w:sz w:val="24"/>
          <w:lang w:eastAsia="zh-TW"/>
        </w:rPr>
        <w:t>厘的</w:t>
      </w:r>
      <w:r w:rsidR="00E655BF" w:rsidRPr="00AD6F59">
        <w:rPr>
          <w:rFonts w:eastAsia="PMingLiU" w:cs="Arial"/>
          <w:kern w:val="20"/>
          <w:sz w:val="24"/>
          <w:lang w:eastAsia="zh-TW"/>
        </w:rPr>
        <w:t>人民幣</w:t>
      </w:r>
      <w:r w:rsidR="004A43B1">
        <w:rPr>
          <w:rFonts w:eastAsia="PMingLiU" w:cs="Arial"/>
          <w:kern w:val="20"/>
          <w:sz w:val="24"/>
          <w:lang w:eastAsia="zh-TW"/>
        </w:rPr>
        <w:t>0.50</w:t>
      </w:r>
      <w:r w:rsidRPr="00AD6F59">
        <w:rPr>
          <w:rFonts w:eastAsia="PMingLiU" w:cs="Arial"/>
          <w:kern w:val="20"/>
          <w:sz w:val="24"/>
          <w:lang w:eastAsia="zh-TW"/>
        </w:rPr>
        <w:t>億元國債合併構成</w:t>
      </w:r>
      <w:r w:rsidR="00AD6F59" w:rsidRPr="00AD6F59">
        <w:rPr>
          <w:rFonts w:eastAsia="PMingLiU" w:cs="Arial" w:hint="eastAsia"/>
          <w:kern w:val="20"/>
          <w:sz w:val="24"/>
          <w:lang w:eastAsia="zh-TW"/>
        </w:rPr>
        <w:t>單</w:t>
      </w:r>
      <w:r w:rsidRPr="00AD6F59">
        <w:rPr>
          <w:rFonts w:eastAsia="PMingLiU" w:cs="Arial"/>
          <w:kern w:val="20"/>
          <w:sz w:val="24"/>
          <w:lang w:eastAsia="zh-TW"/>
        </w:rPr>
        <w:t>一系列）</w:t>
      </w:r>
    </w:p>
    <w:p w14:paraId="70ECB5A7" w14:textId="5A3BCF29" w:rsidR="00422F15" w:rsidRPr="00AD6F59" w:rsidRDefault="00422F15" w:rsidP="00422F15">
      <w:pPr>
        <w:autoSpaceDE w:val="0"/>
        <w:autoSpaceDN w:val="0"/>
        <w:adjustRightInd w:val="0"/>
        <w:snapToGrid w:val="0"/>
        <w:jc w:val="center"/>
        <w:rPr>
          <w:rFonts w:eastAsia="PMingLiU" w:cs="Arial"/>
          <w:kern w:val="20"/>
          <w:sz w:val="24"/>
          <w:lang w:eastAsia="zh-TW"/>
        </w:rPr>
      </w:pPr>
      <w:r w:rsidRPr="00AD6F59">
        <w:rPr>
          <w:rFonts w:eastAsia="PMingLiU" w:cs="Arial" w:hint="eastAsia"/>
          <w:kern w:val="20"/>
          <w:sz w:val="24"/>
          <w:lang w:eastAsia="zh-TW"/>
        </w:rPr>
        <w:t>發行價格</w:t>
      </w:r>
      <w:r w:rsidRPr="00AD6F59">
        <w:rPr>
          <w:rFonts w:eastAsia="PMingLiU" w:cs="Arial"/>
          <w:kern w:val="20"/>
          <w:sz w:val="24"/>
          <w:lang w:eastAsia="zh-TW"/>
        </w:rPr>
        <w:t xml:space="preserve">: </w:t>
      </w:r>
      <w:r w:rsidR="007E78D0">
        <w:rPr>
          <w:rFonts w:eastAsia="PMingLiU" w:cs="Arial"/>
          <w:kern w:val="20"/>
          <w:sz w:val="24"/>
          <w:lang w:eastAsia="zh-TW"/>
        </w:rPr>
        <w:t>105.10</w:t>
      </w:r>
      <w:r w:rsidRPr="00AD6F59">
        <w:rPr>
          <w:rFonts w:eastAsia="PMingLiU" w:cs="Arial"/>
          <w:kern w:val="20"/>
          <w:sz w:val="24"/>
          <w:lang w:eastAsia="zh-TW"/>
        </w:rPr>
        <w:t>%</w:t>
      </w:r>
    </w:p>
    <w:p w14:paraId="4401B31D" w14:textId="0A0FBC56" w:rsidR="008C2F6A" w:rsidRPr="00DA1E7C" w:rsidRDefault="008C2F6A" w:rsidP="00DA1E7C">
      <w:pPr>
        <w:pStyle w:val="Body"/>
        <w:jc w:val="center"/>
        <w:rPr>
          <w:rFonts w:eastAsia="PMingLiU" w:cs="Arial"/>
          <w:sz w:val="24"/>
          <w:lang w:eastAsia="zh-TW"/>
        </w:rPr>
      </w:pPr>
      <w:r w:rsidRPr="00DA1E7C">
        <w:rPr>
          <w:rFonts w:eastAsia="PMingLiU" w:cs="Arial" w:hint="eastAsia"/>
          <w:sz w:val="24"/>
          <w:lang w:eastAsia="zh-TW"/>
        </w:rPr>
        <w:t>（上市代碼：</w:t>
      </w:r>
      <w:r w:rsidR="004A43B1">
        <w:rPr>
          <w:rFonts w:eastAsia="PMingLiU" w:cs="Arial"/>
          <w:sz w:val="24"/>
          <w:lang w:eastAsia="zh-TW"/>
        </w:rPr>
        <w:t>86611</w:t>
      </w:r>
      <w:r w:rsidRPr="00DA1E7C">
        <w:rPr>
          <w:rFonts w:eastAsia="PMingLiU" w:cs="Arial" w:hint="eastAsia"/>
          <w:sz w:val="24"/>
          <w:lang w:eastAsia="zh-TW"/>
        </w:rPr>
        <w:t>）</w:t>
      </w:r>
    </w:p>
    <w:p w14:paraId="10414BA9" w14:textId="77777777" w:rsidR="004C73DF" w:rsidRPr="00DA1E7C" w:rsidRDefault="008C03FE" w:rsidP="004C73DF">
      <w:pPr>
        <w:pStyle w:val="Body"/>
        <w:jc w:val="center"/>
        <w:rPr>
          <w:rFonts w:eastAsia="PMingLiU" w:cs="Arial"/>
          <w:sz w:val="24"/>
          <w:lang w:eastAsia="zh-TW"/>
        </w:rPr>
      </w:pPr>
      <w:r w:rsidRPr="00DA1E7C">
        <w:rPr>
          <w:rFonts w:eastAsia="PMingLiU" w:cs="Arial" w:hint="eastAsia"/>
          <w:sz w:val="24"/>
          <w:lang w:eastAsia="zh-TW"/>
        </w:rPr>
        <w:t>（合稱「國債」）</w:t>
      </w:r>
    </w:p>
    <w:p w14:paraId="340049FE" w14:textId="77777777" w:rsidR="004C73DF" w:rsidRPr="00DA1E7C" w:rsidRDefault="00C93D77" w:rsidP="005A1FB7">
      <w:pPr>
        <w:pStyle w:val="Body"/>
        <w:rPr>
          <w:rFonts w:eastAsiaTheme="minorEastAsia" w:cs="Arial"/>
          <w:lang w:eastAsia="zh-TW"/>
        </w:rPr>
      </w:pPr>
    </w:p>
    <w:p w14:paraId="0A236693" w14:textId="107ABF7A" w:rsidR="004C73DF" w:rsidRPr="00DA1E7C" w:rsidRDefault="008C03FE" w:rsidP="005A1FB7">
      <w:pPr>
        <w:pStyle w:val="Body"/>
        <w:rPr>
          <w:rFonts w:eastAsia="PMingLiU" w:cs="Arial"/>
          <w:sz w:val="24"/>
          <w:lang w:eastAsia="zh-TW"/>
        </w:rPr>
      </w:pPr>
      <w:r w:rsidRPr="00DA1E7C">
        <w:rPr>
          <w:rFonts w:eastAsia="PMingLiU" w:cs="Arial" w:hint="eastAsia"/>
          <w:sz w:val="24"/>
          <w:lang w:eastAsia="zh-TW"/>
        </w:rPr>
        <w:t>香港，</w:t>
      </w:r>
      <w:r w:rsidR="004A43B1">
        <w:rPr>
          <w:rFonts w:asciiTheme="minorEastAsia" w:eastAsiaTheme="minorEastAsia" w:hAnsiTheme="minorEastAsia" w:cs="Arial" w:hint="eastAsia"/>
          <w:sz w:val="24"/>
          <w:lang w:eastAsia="zh-TW"/>
        </w:rPr>
        <w:t>二零二一年十月二十二日</w:t>
      </w:r>
    </w:p>
    <w:p w14:paraId="0B22CBF4" w14:textId="19847F0A" w:rsidR="004C73DF" w:rsidRPr="00DA1E7C" w:rsidRDefault="008C03FE" w:rsidP="005A1FB7">
      <w:pPr>
        <w:pStyle w:val="Body"/>
        <w:rPr>
          <w:rFonts w:eastAsia="PMingLiU" w:cs="Arial"/>
          <w:sz w:val="24"/>
          <w:lang w:eastAsia="zh-TW"/>
        </w:rPr>
      </w:pPr>
      <w:r w:rsidRPr="00DA1E7C">
        <w:rPr>
          <w:rFonts w:eastAsia="PMingLiU" w:cs="Arial" w:hint="eastAsia"/>
          <w:sz w:val="24"/>
          <w:lang w:eastAsia="zh-TW"/>
        </w:rPr>
        <w:t>如日期</w:t>
      </w:r>
      <w:r w:rsidRPr="005D6833">
        <w:rPr>
          <w:rFonts w:ascii="PMingLiU" w:eastAsia="PMingLiU" w:hAnsi="PMingLiU" w:cs="Arial" w:hint="eastAsia"/>
          <w:sz w:val="24"/>
          <w:lang w:eastAsia="zh-TW"/>
        </w:rPr>
        <w:t>為二零</w:t>
      </w:r>
      <w:r w:rsidR="0057287F" w:rsidRPr="005D6833">
        <w:rPr>
          <w:rFonts w:ascii="PMingLiU" w:eastAsia="PMingLiU" w:hAnsi="PMingLiU" w:cs="Arial" w:hint="eastAsia"/>
          <w:sz w:val="24"/>
          <w:lang w:eastAsia="zh-TW"/>
        </w:rPr>
        <w:t>二</w:t>
      </w:r>
      <w:r w:rsidR="00DA0C0B">
        <w:rPr>
          <w:rFonts w:asciiTheme="minorEastAsia" w:eastAsiaTheme="minorEastAsia" w:hAnsiTheme="minorEastAsia" w:cs="Arial" w:hint="eastAsia"/>
          <w:sz w:val="24"/>
          <w:lang w:eastAsia="zh-TW"/>
        </w:rPr>
        <w:t>一</w:t>
      </w:r>
      <w:r w:rsidRPr="005D6833">
        <w:rPr>
          <w:rFonts w:ascii="PMingLiU" w:eastAsia="PMingLiU" w:hAnsi="PMingLiU" w:cs="Arial" w:hint="eastAsia"/>
          <w:sz w:val="24"/>
          <w:lang w:eastAsia="zh-TW"/>
        </w:rPr>
        <w:t>年</w:t>
      </w:r>
      <w:r w:rsidR="009A720A" w:rsidRPr="005D6833">
        <w:rPr>
          <w:rFonts w:ascii="PMingLiU" w:eastAsia="PMingLiU" w:hAnsi="PMingLiU" w:cs="Arial" w:hint="eastAsia"/>
          <w:sz w:val="24"/>
          <w:lang w:eastAsia="zh-TW"/>
        </w:rPr>
        <w:t>十</w:t>
      </w:r>
      <w:r w:rsidRPr="005D6833">
        <w:rPr>
          <w:rFonts w:ascii="PMingLiU" w:eastAsia="PMingLiU" w:hAnsi="PMingLiU" w:cs="Arial" w:hint="eastAsia"/>
          <w:sz w:val="24"/>
          <w:lang w:eastAsia="zh-TW"/>
        </w:rPr>
        <w:t>月</w:t>
      </w:r>
      <w:r w:rsidR="00AD6F59" w:rsidRPr="005D6833">
        <w:rPr>
          <w:rFonts w:ascii="PMingLiU" w:eastAsia="PMingLiU" w:hAnsi="PMingLiU" w:cs="Arial" w:hint="eastAsia"/>
          <w:sz w:val="24"/>
          <w:lang w:eastAsia="zh-TW"/>
        </w:rPr>
        <w:t>十</w:t>
      </w:r>
      <w:r w:rsidR="00DA0C0B">
        <w:rPr>
          <w:rFonts w:asciiTheme="minorEastAsia" w:eastAsiaTheme="minorEastAsia" w:hAnsiTheme="minorEastAsia" w:cs="Arial" w:hint="eastAsia"/>
          <w:sz w:val="24"/>
          <w:lang w:eastAsia="zh-TW"/>
        </w:rPr>
        <w:t>三</w:t>
      </w:r>
      <w:r w:rsidRPr="005D6833">
        <w:rPr>
          <w:rFonts w:ascii="PMingLiU" w:eastAsia="PMingLiU" w:hAnsi="PMingLiU" w:cs="Arial" w:hint="eastAsia"/>
          <w:sz w:val="24"/>
          <w:lang w:eastAsia="zh-TW"/>
        </w:rPr>
        <w:t>日</w:t>
      </w:r>
      <w:r w:rsidRPr="00DA1E7C">
        <w:rPr>
          <w:rFonts w:eastAsia="PMingLiU" w:cs="Arial" w:hint="eastAsia"/>
          <w:sz w:val="24"/>
          <w:lang w:eastAsia="zh-TW"/>
        </w:rPr>
        <w:t>的招標章程所述，已從香港聯交所取得</w:t>
      </w:r>
      <w:r w:rsidR="00422F15" w:rsidRPr="00AD6F59">
        <w:rPr>
          <w:rFonts w:eastAsia="PMingLiU" w:cs="Arial" w:hint="eastAsia"/>
          <w:sz w:val="24"/>
          <w:lang w:eastAsia="zh-TW"/>
        </w:rPr>
        <w:t>於</w:t>
      </w:r>
      <w:r w:rsidR="004A43B1">
        <w:rPr>
          <w:rFonts w:eastAsia="PMingLiU" w:cs="Arial"/>
          <w:sz w:val="24"/>
          <w:lang w:eastAsia="zh-TW"/>
        </w:rPr>
        <w:t>2023</w:t>
      </w:r>
      <w:r w:rsidR="00422F15" w:rsidRPr="00AD6F59">
        <w:rPr>
          <w:rFonts w:eastAsia="PMingLiU" w:cs="Arial" w:hint="eastAsia"/>
          <w:sz w:val="24"/>
          <w:lang w:eastAsia="zh-TW"/>
        </w:rPr>
        <w:t>年到期的年利率為</w:t>
      </w:r>
      <w:r w:rsidR="004A43B1">
        <w:rPr>
          <w:rFonts w:eastAsia="PMingLiU" w:cs="Arial"/>
          <w:sz w:val="24"/>
          <w:lang w:eastAsia="zh-TW"/>
        </w:rPr>
        <w:t xml:space="preserve">2.41 </w:t>
      </w:r>
      <w:r w:rsidR="00422F15" w:rsidRPr="00AD6F59">
        <w:rPr>
          <w:rFonts w:eastAsia="PMingLiU" w:cs="Arial" w:hint="eastAsia"/>
          <w:sz w:val="24"/>
          <w:lang w:eastAsia="zh-TW"/>
        </w:rPr>
        <w:t>厘的人民幣</w:t>
      </w:r>
      <w:r w:rsidR="004A43B1">
        <w:rPr>
          <w:rFonts w:eastAsia="PMingLiU" w:cs="Arial"/>
          <w:sz w:val="24"/>
          <w:lang w:eastAsia="zh-TW"/>
        </w:rPr>
        <w:t>45.00</w:t>
      </w:r>
      <w:r w:rsidR="00422F15" w:rsidRPr="00AD6F59">
        <w:rPr>
          <w:rFonts w:eastAsia="PMingLiU" w:cs="Arial" w:hint="eastAsia"/>
          <w:sz w:val="24"/>
          <w:lang w:eastAsia="zh-TW"/>
        </w:rPr>
        <w:t>億元國債</w:t>
      </w:r>
      <w:r w:rsidR="00DA1E7C" w:rsidRPr="00AD6F59">
        <w:rPr>
          <w:rFonts w:eastAsia="PMingLiU" w:cs="Arial" w:hint="eastAsia"/>
          <w:sz w:val="24"/>
          <w:lang w:eastAsia="zh-TW"/>
        </w:rPr>
        <w:t>以及</w:t>
      </w:r>
      <w:r w:rsidR="00422F15" w:rsidRPr="00AD6F59">
        <w:rPr>
          <w:rFonts w:eastAsia="PMingLiU" w:cs="Arial" w:hint="eastAsia"/>
          <w:sz w:val="24"/>
          <w:lang w:eastAsia="zh-TW"/>
        </w:rPr>
        <w:t>於</w:t>
      </w:r>
      <w:r w:rsidR="004A43B1">
        <w:rPr>
          <w:rFonts w:eastAsia="PMingLiU" w:cs="Arial"/>
          <w:sz w:val="24"/>
          <w:lang w:eastAsia="zh-TW"/>
        </w:rPr>
        <w:t>2028</w:t>
      </w:r>
      <w:r w:rsidR="00422F15" w:rsidRPr="00AD6F59">
        <w:rPr>
          <w:rFonts w:eastAsia="PMingLiU" w:cs="Arial" w:hint="eastAsia"/>
          <w:sz w:val="24"/>
          <w:lang w:eastAsia="zh-TW"/>
        </w:rPr>
        <w:t>年到期的年利率為</w:t>
      </w:r>
      <w:r w:rsidR="004A43B1">
        <w:rPr>
          <w:rFonts w:eastAsia="PMingLiU" w:cs="Arial"/>
          <w:sz w:val="24"/>
          <w:lang w:eastAsia="zh-TW"/>
        </w:rPr>
        <w:t>3.60</w:t>
      </w:r>
      <w:r w:rsidR="00422F15" w:rsidRPr="00AD6F59">
        <w:rPr>
          <w:rFonts w:eastAsia="PMingLiU" w:cs="Arial" w:hint="eastAsia"/>
          <w:sz w:val="24"/>
          <w:lang w:eastAsia="zh-TW"/>
        </w:rPr>
        <w:t>厘的人民幣</w:t>
      </w:r>
      <w:r w:rsidR="00220C64" w:rsidRPr="00AD6F59">
        <w:rPr>
          <w:rFonts w:eastAsia="PMingLiU" w:cs="Arial" w:hint="eastAsia"/>
          <w:sz w:val="24"/>
          <w:lang w:eastAsia="zh-TW"/>
        </w:rPr>
        <w:t>15.00</w:t>
      </w:r>
      <w:r w:rsidR="00422F15" w:rsidRPr="00AD6F59">
        <w:rPr>
          <w:rFonts w:eastAsia="PMingLiU" w:cs="Arial" w:hint="eastAsia"/>
          <w:sz w:val="24"/>
          <w:lang w:eastAsia="zh-TW"/>
        </w:rPr>
        <w:t>億元國債（合稱，</w:t>
      </w:r>
      <w:r w:rsidR="00473413" w:rsidRPr="00DA1E7C">
        <w:rPr>
          <w:rFonts w:eastAsia="PMingLiU" w:cs="Arial" w:hint="eastAsia"/>
          <w:sz w:val="24"/>
          <w:lang w:eastAsia="zh-TW"/>
        </w:rPr>
        <w:t>「</w:t>
      </w:r>
      <w:r w:rsidR="00422F15" w:rsidRPr="00AD6F59">
        <w:rPr>
          <w:rFonts w:eastAsia="PMingLiU" w:cs="Arial" w:hint="eastAsia"/>
          <w:sz w:val="24"/>
          <w:lang w:eastAsia="zh-TW"/>
        </w:rPr>
        <w:t>增</w:t>
      </w:r>
      <w:r w:rsidR="00422F15" w:rsidRPr="00F51C7D">
        <w:rPr>
          <w:rFonts w:eastAsia="PMingLiU" w:cs="Arial" w:hint="eastAsia"/>
          <w:sz w:val="24"/>
          <w:lang w:eastAsia="zh-TW"/>
        </w:rPr>
        <w:t>發國債</w:t>
      </w:r>
      <w:r w:rsidR="00473413" w:rsidRPr="00DA1E7C">
        <w:rPr>
          <w:rFonts w:eastAsia="PMingLiU" w:cs="Arial" w:hint="eastAsia"/>
          <w:sz w:val="24"/>
          <w:lang w:eastAsia="zh-TW"/>
        </w:rPr>
        <w:t>」</w:t>
      </w:r>
      <w:bookmarkStart w:id="0" w:name="_Hlk50983220"/>
      <w:r w:rsidR="00422F15" w:rsidRPr="00F51C7D">
        <w:rPr>
          <w:rFonts w:eastAsia="PMingLiU" w:cs="Arial" w:hint="eastAsia"/>
          <w:sz w:val="24"/>
          <w:lang w:eastAsia="zh-TW"/>
        </w:rPr>
        <w:t>）</w:t>
      </w:r>
      <w:bookmarkEnd w:id="0"/>
      <w:r w:rsidRPr="00F51C7D">
        <w:rPr>
          <w:rFonts w:eastAsia="PMingLiU" w:cs="Arial" w:hint="eastAsia"/>
          <w:sz w:val="24"/>
          <w:lang w:eastAsia="zh-TW"/>
        </w:rPr>
        <w:t>上市</w:t>
      </w:r>
      <w:r w:rsidRPr="00DA1E7C">
        <w:rPr>
          <w:rFonts w:eastAsia="PMingLiU" w:cs="Arial" w:hint="eastAsia"/>
          <w:sz w:val="24"/>
          <w:lang w:eastAsia="zh-TW"/>
        </w:rPr>
        <w:t>及買賣許可的確認。預期</w:t>
      </w:r>
      <w:r w:rsidR="00725D78" w:rsidRPr="00F51C7D">
        <w:rPr>
          <w:rFonts w:eastAsia="PMingLiU" w:cs="Arial" w:hint="eastAsia"/>
          <w:sz w:val="24"/>
          <w:lang w:eastAsia="zh-TW"/>
        </w:rPr>
        <w:t>增發</w:t>
      </w:r>
      <w:r w:rsidRPr="00DA1E7C">
        <w:rPr>
          <w:rFonts w:eastAsia="PMingLiU" w:cs="Arial" w:hint="eastAsia"/>
          <w:sz w:val="24"/>
          <w:lang w:eastAsia="zh-TW"/>
        </w:rPr>
        <w:t>國債上市將於</w:t>
      </w:r>
      <w:r w:rsidR="004A43B1">
        <w:rPr>
          <w:rFonts w:asciiTheme="minorEastAsia" w:eastAsiaTheme="minorEastAsia" w:hAnsiTheme="minorEastAsia" w:cs="Arial" w:hint="eastAsia"/>
          <w:sz w:val="24"/>
          <w:lang w:eastAsia="zh-TW"/>
        </w:rPr>
        <w:t>二零二一年十月二十</w:t>
      </w:r>
      <w:r w:rsidR="002D4AE7">
        <w:rPr>
          <w:rFonts w:asciiTheme="minorEastAsia" w:eastAsiaTheme="minorEastAsia" w:hAnsiTheme="minorEastAsia" w:cs="Arial" w:hint="eastAsia"/>
          <w:sz w:val="24"/>
          <w:lang w:eastAsia="zh-TW"/>
        </w:rPr>
        <w:t>五</w:t>
      </w:r>
      <w:r w:rsidR="004A43B1">
        <w:rPr>
          <w:rFonts w:asciiTheme="minorEastAsia" w:eastAsiaTheme="minorEastAsia" w:hAnsiTheme="minorEastAsia" w:cs="Arial" w:hint="eastAsia"/>
          <w:sz w:val="24"/>
          <w:lang w:eastAsia="zh-TW"/>
        </w:rPr>
        <w:t>日</w:t>
      </w:r>
      <w:r w:rsidRPr="00DA1E7C">
        <w:rPr>
          <w:rFonts w:eastAsia="PMingLiU" w:cs="Arial" w:hint="eastAsia"/>
          <w:sz w:val="24"/>
          <w:lang w:eastAsia="zh-TW"/>
        </w:rPr>
        <w:t>生效。</w:t>
      </w:r>
    </w:p>
    <w:p w14:paraId="50F70C1B" w14:textId="77777777" w:rsidR="00B54852" w:rsidRDefault="00B54852" w:rsidP="005A1FB7">
      <w:pPr>
        <w:pStyle w:val="Body"/>
        <w:rPr>
          <w:rFonts w:eastAsiaTheme="minorEastAsia" w:cs="Arial"/>
          <w:sz w:val="24"/>
          <w:lang w:eastAsia="zh-TW"/>
        </w:rPr>
      </w:pPr>
    </w:p>
    <w:p w14:paraId="3098580D" w14:textId="090C7210" w:rsidR="00473413" w:rsidRPr="00F51C7D" w:rsidRDefault="008C03FE" w:rsidP="005A1FB7">
      <w:pPr>
        <w:pStyle w:val="Body"/>
        <w:rPr>
          <w:rFonts w:eastAsia="PMingLiU" w:cs="Arial"/>
          <w:sz w:val="24"/>
          <w:lang w:eastAsia="zh-TW"/>
        </w:rPr>
      </w:pPr>
      <w:r w:rsidRPr="00DA1E7C">
        <w:rPr>
          <w:rFonts w:eastAsia="PMingLiU" w:cs="Arial" w:hint="eastAsia"/>
          <w:sz w:val="24"/>
          <w:lang w:eastAsia="zh-TW"/>
        </w:rPr>
        <w:lastRenderedPageBreak/>
        <w:t>交通銀行股份有限公司香港分行</w:t>
      </w:r>
      <w:r w:rsidR="00220C64" w:rsidRPr="00AD6F59">
        <w:rPr>
          <w:rFonts w:eastAsia="PMingLiU" w:cs="Arial" w:hint="eastAsia"/>
          <w:sz w:val="24"/>
          <w:lang w:eastAsia="zh-TW"/>
        </w:rPr>
        <w:t>（</w:t>
      </w:r>
      <w:r w:rsidR="005749F7" w:rsidRPr="00AD6F59">
        <w:rPr>
          <w:rFonts w:eastAsia="PMingLiU" w:cs="Arial" w:hint="eastAsia"/>
          <w:sz w:val="24"/>
          <w:lang w:eastAsia="zh-TW"/>
        </w:rPr>
        <w:t>於</w:t>
      </w:r>
      <w:r w:rsidR="005749F7" w:rsidRPr="00473413">
        <w:rPr>
          <w:rFonts w:eastAsia="PMingLiU" w:cs="Arial" w:hint="eastAsia"/>
          <w:sz w:val="24"/>
          <w:lang w:eastAsia="zh-TW"/>
        </w:rPr>
        <w:t>中華人民共和國註冊成立的股份有限公司</w:t>
      </w:r>
      <w:r w:rsidR="00F51C7D" w:rsidRPr="00F51C7D">
        <w:rPr>
          <w:rFonts w:eastAsia="PMingLiU" w:cs="Arial" w:hint="eastAsia"/>
          <w:sz w:val="24"/>
          <w:lang w:eastAsia="zh-TW"/>
        </w:rPr>
        <w:t>）</w:t>
      </w:r>
    </w:p>
    <w:p w14:paraId="5F76C84E" w14:textId="77777777" w:rsidR="000023FF" w:rsidRPr="00DA1E7C" w:rsidRDefault="008C03FE" w:rsidP="005A1FB7">
      <w:pPr>
        <w:pStyle w:val="Body"/>
        <w:rPr>
          <w:rFonts w:eastAsia="PMingLiU" w:cs="Arial"/>
          <w:sz w:val="24"/>
          <w:lang w:eastAsia="zh-TW"/>
        </w:rPr>
      </w:pPr>
      <w:r w:rsidRPr="00DA1E7C">
        <w:rPr>
          <w:rFonts w:eastAsia="PMingLiU" w:cs="Arial" w:hint="eastAsia"/>
          <w:sz w:val="24"/>
          <w:lang w:eastAsia="zh-TW"/>
        </w:rPr>
        <w:t>財務代理、發行及交存代理及上市代理</w:t>
      </w:r>
    </w:p>
    <w:p w14:paraId="6AEF5384" w14:textId="77777777" w:rsidR="000023FF" w:rsidRPr="00DA1E7C" w:rsidRDefault="00C93D77" w:rsidP="005A1FB7">
      <w:pPr>
        <w:pStyle w:val="Body"/>
        <w:rPr>
          <w:rFonts w:eastAsiaTheme="minorEastAsia" w:cs="Arial"/>
          <w:sz w:val="24"/>
          <w:lang w:eastAsia="zh-TW"/>
        </w:rPr>
        <w:sectPr w:rsidR="000023FF" w:rsidRPr="00DA1E7C" w:rsidSect="00C74657">
          <w:headerReference w:type="even" r:id="rId8"/>
          <w:headerReference w:type="default" r:id="rId9"/>
          <w:footerReference w:type="even" r:id="rId10"/>
          <w:footerReference w:type="default" r:id="rId11"/>
          <w:headerReference w:type="first" r:id="rId12"/>
          <w:footerReference w:type="first" r:id="rId13"/>
          <w:pgSz w:w="11907" w:h="16839" w:code="9"/>
          <w:pgMar w:top="1701" w:right="1588" w:bottom="1304" w:left="1588" w:header="766" w:footer="482" w:gutter="0"/>
          <w:pgNumType w:start="1"/>
          <w:cols w:space="708"/>
          <w:docGrid w:linePitch="360"/>
        </w:sectPr>
      </w:pPr>
    </w:p>
    <w:p w14:paraId="7A63E077" w14:textId="77777777" w:rsidR="000023FF" w:rsidRPr="00DA1E7C" w:rsidRDefault="008C03FE" w:rsidP="000023FF">
      <w:pPr>
        <w:pStyle w:val="Head"/>
        <w:jc w:val="center"/>
        <w:rPr>
          <w:rFonts w:cs="Arial"/>
          <w:sz w:val="24"/>
          <w:lang w:eastAsia="zh-TW"/>
        </w:rPr>
      </w:pPr>
      <w:r w:rsidRPr="00DA1E7C">
        <w:rPr>
          <w:rFonts w:cs="Arial" w:hint="eastAsia"/>
          <w:sz w:val="24"/>
          <w:lang w:eastAsia="zh-TW"/>
        </w:rPr>
        <w:t>重要信息</w:t>
      </w:r>
    </w:p>
    <w:p w14:paraId="64A73CA0" w14:textId="41843C59" w:rsidR="00F43D9F" w:rsidRPr="00DA1E7C" w:rsidRDefault="008C03FE" w:rsidP="00E57487">
      <w:pPr>
        <w:pStyle w:val="Body"/>
        <w:rPr>
          <w:rFonts w:eastAsia="PMingLiU" w:cs="Arial"/>
          <w:sz w:val="24"/>
          <w:lang w:val="en-US" w:eastAsia="zh-TW"/>
        </w:rPr>
      </w:pPr>
      <w:r w:rsidRPr="00DA1E7C">
        <w:rPr>
          <w:rFonts w:eastAsia="PMingLiU" w:cs="Arial" w:hint="eastAsia"/>
          <w:sz w:val="24"/>
          <w:lang w:eastAsia="zh-TW"/>
        </w:rPr>
        <w:t>關於國債的進一步細節，投資者應參考日期為</w:t>
      </w:r>
      <w:r w:rsidR="00B95F36" w:rsidRPr="00DA1E7C">
        <w:rPr>
          <w:rFonts w:eastAsia="PMingLiU" w:cs="Arial" w:hint="eastAsia"/>
          <w:sz w:val="24"/>
          <w:lang w:eastAsia="zh-TW"/>
        </w:rPr>
        <w:t>二零</w:t>
      </w:r>
      <w:r w:rsidR="0057287F" w:rsidRPr="00F7590C">
        <w:rPr>
          <w:rFonts w:ascii="PMingLiU" w:eastAsia="PMingLiU" w:hAnsi="PMingLiU" w:cs="Arial" w:hint="eastAsia"/>
          <w:sz w:val="24"/>
          <w:lang w:eastAsia="zh-TW"/>
        </w:rPr>
        <w:t>二</w:t>
      </w:r>
      <w:r w:rsidR="002D4AE7">
        <w:rPr>
          <w:rFonts w:asciiTheme="minorEastAsia" w:eastAsiaTheme="minorEastAsia" w:hAnsiTheme="minorEastAsia" w:cs="Arial" w:hint="eastAsia"/>
          <w:sz w:val="24"/>
          <w:lang w:eastAsia="zh-TW"/>
        </w:rPr>
        <w:t>一</w:t>
      </w:r>
      <w:r w:rsidR="00220C64" w:rsidRPr="00F7590C">
        <w:rPr>
          <w:rFonts w:ascii="PMingLiU" w:eastAsia="PMingLiU" w:hAnsi="PMingLiU" w:cs="Arial" w:hint="eastAsia"/>
          <w:sz w:val="24"/>
          <w:lang w:eastAsia="zh-TW"/>
        </w:rPr>
        <w:t>年</w:t>
      </w:r>
      <w:r w:rsidR="009A720A" w:rsidRPr="00F7590C">
        <w:rPr>
          <w:rFonts w:ascii="PMingLiU" w:eastAsia="PMingLiU" w:hAnsi="PMingLiU" w:cs="Arial" w:hint="eastAsia"/>
          <w:sz w:val="24"/>
          <w:lang w:eastAsia="zh-TW"/>
        </w:rPr>
        <w:t>十</w:t>
      </w:r>
      <w:r w:rsidR="00220C64" w:rsidRPr="00F7590C">
        <w:rPr>
          <w:rFonts w:ascii="PMingLiU" w:eastAsia="PMingLiU" w:hAnsi="PMingLiU" w:cs="Arial" w:hint="eastAsia"/>
          <w:sz w:val="24"/>
          <w:lang w:eastAsia="zh-TW"/>
        </w:rPr>
        <w:t>月</w:t>
      </w:r>
      <w:r w:rsidR="0057287F" w:rsidRPr="00F7590C">
        <w:rPr>
          <w:rFonts w:ascii="PMingLiU" w:eastAsia="PMingLiU" w:hAnsi="PMingLiU" w:cs="Arial" w:hint="eastAsia"/>
          <w:sz w:val="24"/>
          <w:lang w:eastAsia="zh-TW"/>
        </w:rPr>
        <w:t>十</w:t>
      </w:r>
      <w:r w:rsidR="002D4AE7">
        <w:rPr>
          <w:rFonts w:asciiTheme="minorEastAsia" w:eastAsiaTheme="minorEastAsia" w:hAnsiTheme="minorEastAsia" w:cs="Arial" w:hint="eastAsia"/>
          <w:sz w:val="24"/>
          <w:lang w:eastAsia="zh-TW"/>
        </w:rPr>
        <w:t>三</w:t>
      </w:r>
      <w:r w:rsidR="00B95F36" w:rsidRPr="00F7590C">
        <w:rPr>
          <w:rFonts w:ascii="PMingLiU" w:eastAsia="PMingLiU" w:hAnsi="PMingLiU" w:cs="Arial" w:hint="eastAsia"/>
          <w:sz w:val="24"/>
          <w:lang w:eastAsia="zh-TW"/>
        </w:rPr>
        <w:t>日</w:t>
      </w:r>
      <w:r w:rsidRPr="00DA1E7C">
        <w:rPr>
          <w:rFonts w:eastAsia="PMingLiU" w:cs="Arial" w:hint="eastAsia"/>
          <w:sz w:val="24"/>
          <w:lang w:eastAsia="zh-TW"/>
        </w:rPr>
        <w:t>的招標章程。另外，投資者應注意，國債的利率固定。如果人民幣利率於國債期限內上升，國債市場價格將會下降，在這種情況下，如果閣下在最終到期日前賣出國債，則閣下可能承受市場價格下降帶來的損失。國債並無任何評級。</w:t>
      </w:r>
    </w:p>
    <w:p w14:paraId="7ECDA8A7" w14:textId="77777777" w:rsidR="00E57487" w:rsidRPr="00DA1E7C" w:rsidRDefault="008C03FE" w:rsidP="00E57487">
      <w:pPr>
        <w:pStyle w:val="Body"/>
        <w:rPr>
          <w:rFonts w:eastAsiaTheme="majorEastAsia" w:cs="Arial"/>
          <w:b/>
          <w:bCs/>
          <w:sz w:val="24"/>
          <w:lang w:eastAsia="zh-TW"/>
        </w:rPr>
      </w:pPr>
      <w:r w:rsidRPr="00DA1E7C">
        <w:rPr>
          <w:rFonts w:eastAsiaTheme="majorEastAsia" w:cs="Arial" w:hint="eastAsia"/>
          <w:b/>
          <w:bCs/>
          <w:sz w:val="24"/>
          <w:lang w:eastAsia="zh-TW"/>
        </w:rPr>
        <w:t>上市及交易</w:t>
      </w:r>
    </w:p>
    <w:p w14:paraId="32CC0967" w14:textId="77777777" w:rsidR="00734DF1" w:rsidRPr="00DA1E7C" w:rsidRDefault="00725D78" w:rsidP="00734DF1">
      <w:pPr>
        <w:pStyle w:val="Body"/>
        <w:rPr>
          <w:rFonts w:eastAsiaTheme="minorEastAsia" w:cs="Arial"/>
          <w:sz w:val="24"/>
          <w:lang w:eastAsia="zh-TW"/>
        </w:rPr>
      </w:pPr>
      <w:r w:rsidRPr="00DA1E7C">
        <w:rPr>
          <w:rFonts w:ascii="PMingLiU" w:eastAsia="PMingLiU" w:hAnsi="PMingLiU" w:cs="PMingLiU" w:hint="eastAsia"/>
          <w:sz w:val="24"/>
          <w:lang w:val="x-none" w:eastAsia="zh-TW"/>
        </w:rPr>
        <w:t>增發</w:t>
      </w:r>
      <w:r w:rsidR="008C03FE" w:rsidRPr="00DA1E7C">
        <w:rPr>
          <w:rFonts w:eastAsia="PMingLiU" w:cs="Arial" w:hint="eastAsia"/>
          <w:sz w:val="24"/>
          <w:lang w:eastAsia="zh-TW"/>
        </w:rPr>
        <w:t>國債將會在香港聯交所上市及國債將會獲香港中央結算有限公司（「香港結算公司」）接納為合資格證券，從</w:t>
      </w:r>
      <w:r w:rsidRPr="00DA1E7C">
        <w:rPr>
          <w:rFonts w:ascii="PMingLiU" w:eastAsia="PMingLiU" w:hAnsi="PMingLiU" w:cs="PMingLiU" w:hint="eastAsia"/>
          <w:sz w:val="24"/>
          <w:lang w:val="x-none" w:eastAsia="zh-TW"/>
        </w:rPr>
        <w:t>增發</w:t>
      </w:r>
      <w:r w:rsidR="008C03FE" w:rsidRPr="00DA1E7C">
        <w:rPr>
          <w:rFonts w:eastAsia="PMingLiU" w:cs="Arial" w:hint="eastAsia"/>
          <w:sz w:val="24"/>
          <w:lang w:eastAsia="zh-TW"/>
        </w:rPr>
        <w:t>國債的發行日之後的香港營業日起可於中央結算及交收系統（「中央證券結算系統」）寄存、結算及交收。上市的國債之報價及買賣價，將會以其本金金額作基準，並用百分比表示。例如，若價格為「</w:t>
      </w:r>
      <w:r w:rsidR="008C03FE" w:rsidRPr="00DA1E7C">
        <w:rPr>
          <w:rFonts w:eastAsia="PMingLiU" w:cs="Arial"/>
          <w:sz w:val="24"/>
          <w:lang w:eastAsia="zh-TW"/>
        </w:rPr>
        <w:t>99.50</w:t>
      </w:r>
      <w:r w:rsidR="008C03FE" w:rsidRPr="00DA1E7C">
        <w:rPr>
          <w:rFonts w:eastAsia="PMingLiU" w:cs="Arial" w:hint="eastAsia"/>
          <w:sz w:val="24"/>
          <w:lang w:eastAsia="zh-TW"/>
        </w:rPr>
        <w:t>」，即代表是國債本金金額的</w:t>
      </w:r>
      <w:r w:rsidR="008C03FE" w:rsidRPr="00DA1E7C">
        <w:rPr>
          <w:rFonts w:eastAsia="PMingLiU" w:cs="Arial" w:hint="eastAsia"/>
          <w:sz w:val="24"/>
          <w:lang w:eastAsia="zh-TW"/>
        </w:rPr>
        <w:t>99.50%</w:t>
      </w:r>
      <w:r w:rsidR="008C03FE" w:rsidRPr="00DA1E7C">
        <w:rPr>
          <w:rFonts w:eastAsia="PMingLiU" w:cs="Arial" w:hint="eastAsia"/>
          <w:sz w:val="24"/>
          <w:lang w:eastAsia="zh-TW"/>
        </w:rPr>
        <w:t>。</w:t>
      </w:r>
    </w:p>
    <w:p w14:paraId="58917C46" w14:textId="77777777" w:rsidR="00A30C6A" w:rsidRPr="00DA1E7C" w:rsidRDefault="008C03FE" w:rsidP="00A30C6A">
      <w:pPr>
        <w:pStyle w:val="Body"/>
        <w:rPr>
          <w:rFonts w:eastAsia="PMingLiU" w:cs="Arial"/>
          <w:sz w:val="24"/>
          <w:lang w:eastAsia="zh-TW"/>
        </w:rPr>
      </w:pPr>
      <w:r w:rsidRPr="00DA1E7C">
        <w:rPr>
          <w:rFonts w:eastAsia="PMingLiU" w:cs="Arial" w:hint="eastAsia"/>
          <w:sz w:val="24"/>
          <w:lang w:eastAsia="zh-TW"/>
        </w:rPr>
        <w:t>上市既不能保證國債會有一個交投活躍的二手交易市場，也不能保證國債持有人能夠就國債持有人希望購買或出售的國債本金金額取得一個確定的買入價或確定的賣出價。由於國債未必會有一個活躍的二級市場，故國債持有人應注意其可能需持有國債直至到期。</w:t>
      </w:r>
    </w:p>
    <w:p w14:paraId="60596AAF" w14:textId="77777777"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通過香港聯交所的國債之買賣，須於買賣日期後第二個交收日於中央證券結算系統進行交收。買方及賣方均須就國債的交易代價繳付以下的費用及徵費：</w:t>
      </w:r>
    </w:p>
    <w:p w14:paraId="615EB2EF" w14:textId="77777777" w:rsidR="00734DF1" w:rsidRPr="00DA1E7C" w:rsidRDefault="008C03FE" w:rsidP="00734DF1">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有關交易金額的</w:t>
      </w:r>
      <w:r w:rsidRPr="00DA1E7C">
        <w:rPr>
          <w:rFonts w:eastAsia="PMingLiU" w:cs="Arial"/>
          <w:sz w:val="24"/>
          <w:lang w:eastAsia="zh-TW"/>
        </w:rPr>
        <w:t>0.0027%</w:t>
      </w:r>
      <w:r w:rsidRPr="00DA1E7C">
        <w:rPr>
          <w:rFonts w:eastAsia="PMingLiU" w:cs="Arial" w:hint="eastAsia"/>
          <w:sz w:val="24"/>
          <w:lang w:eastAsia="zh-TW"/>
        </w:rPr>
        <w:t>作為交易徵費；及</w:t>
      </w:r>
    </w:p>
    <w:p w14:paraId="0903623B" w14:textId="77777777" w:rsidR="00734DF1" w:rsidRPr="00DA1E7C" w:rsidRDefault="008C03FE" w:rsidP="00734DF1">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有關交易金額的</w:t>
      </w:r>
      <w:r w:rsidRPr="00DA1E7C">
        <w:rPr>
          <w:rFonts w:eastAsia="PMingLiU" w:cs="Arial"/>
          <w:sz w:val="24"/>
          <w:lang w:eastAsia="zh-TW"/>
        </w:rPr>
        <w:t>0.005%</w:t>
      </w:r>
      <w:r w:rsidRPr="00DA1E7C">
        <w:rPr>
          <w:rFonts w:eastAsia="PMingLiU" w:cs="Arial" w:hint="eastAsia"/>
          <w:sz w:val="24"/>
          <w:lang w:eastAsia="zh-TW"/>
        </w:rPr>
        <w:t>作為交易費。</w:t>
      </w:r>
    </w:p>
    <w:p w14:paraId="61DC1805" w14:textId="5F740FEC"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此外，證券及期貨事務監察委員會（「證監會」）亦可能會徵收國債交易金額的</w:t>
      </w:r>
      <w:r w:rsidRPr="00DA1E7C">
        <w:rPr>
          <w:rFonts w:eastAsia="PMingLiU" w:cs="Arial" w:hint="eastAsia"/>
          <w:sz w:val="24"/>
          <w:lang w:eastAsia="zh-TW"/>
        </w:rPr>
        <w:t>0.002%</w:t>
      </w:r>
      <w:r w:rsidRPr="00DA1E7C">
        <w:rPr>
          <w:rFonts w:eastAsia="PMingLiU" w:cs="Arial" w:hint="eastAsia"/>
          <w:sz w:val="24"/>
          <w:lang w:eastAsia="zh-TW"/>
        </w:rPr>
        <w:t>的投資者賠償徵費，不過在本</w:t>
      </w:r>
      <w:r w:rsidR="00AD6F59" w:rsidRPr="00AD6F59">
        <w:rPr>
          <w:rFonts w:eastAsia="PMingLiU" w:cs="Arial" w:hint="eastAsia"/>
          <w:sz w:val="24"/>
          <w:lang w:eastAsia="zh-TW"/>
        </w:rPr>
        <w:t>公告</w:t>
      </w:r>
      <w:r w:rsidRPr="00DA1E7C">
        <w:rPr>
          <w:rFonts w:eastAsia="PMingLiU" w:cs="Arial" w:hint="eastAsia"/>
          <w:sz w:val="24"/>
          <w:lang w:eastAsia="zh-TW"/>
        </w:rPr>
        <w:t>之日，證監會正暫停徵收此項收費。</w:t>
      </w:r>
    </w:p>
    <w:p w14:paraId="5392668F" w14:textId="77777777"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中央證券結算系統內的所有活動均須根據不時生效的《中央證券結算系統一般規則》及《中央證券結算系統運作程序規則》進行。</w:t>
      </w:r>
    </w:p>
    <w:p w14:paraId="3275679F" w14:textId="77777777"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閣下可以下列方法出售所持有的國債：</w:t>
      </w:r>
    </w:p>
    <w:p w14:paraId="5D151946" w14:textId="77777777" w:rsidR="00734DF1" w:rsidRPr="00DA1E7C" w:rsidRDefault="008C03FE" w:rsidP="00734DF1">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透過香港聯交所出售；或</w:t>
      </w:r>
    </w:p>
    <w:p w14:paraId="0D777C75" w14:textId="77777777" w:rsidR="00734DF1" w:rsidRPr="00DA1E7C" w:rsidRDefault="008C03FE" w:rsidP="00734DF1">
      <w:pPr>
        <w:pStyle w:val="Body"/>
        <w:rPr>
          <w:rFonts w:eastAsiaTheme="minorEastAsia"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以「場外交易」的形式出售。</w:t>
      </w:r>
    </w:p>
    <w:p w14:paraId="3BEE48CE" w14:textId="77777777" w:rsidR="00734DF1" w:rsidRPr="00DA1E7C" w:rsidRDefault="008C03FE" w:rsidP="00734DF1">
      <w:pPr>
        <w:pStyle w:val="Body"/>
        <w:rPr>
          <w:rFonts w:eastAsiaTheme="minorEastAsia" w:cs="Arial"/>
          <w:sz w:val="24"/>
          <w:lang w:eastAsia="zh-TW"/>
        </w:rPr>
      </w:pPr>
      <w:r w:rsidRPr="00DA1E7C">
        <w:rPr>
          <w:rFonts w:eastAsiaTheme="majorEastAsia" w:cs="Arial" w:hint="eastAsia"/>
          <w:b/>
          <w:bCs/>
          <w:sz w:val="24"/>
          <w:lang w:eastAsia="zh-TW"/>
        </w:rPr>
        <w:t>閣下只有在直接透過香港結算公司或經閣下的證券經紀持有國債的情況下，方可經香港聯交所出售國債。</w:t>
      </w:r>
    </w:p>
    <w:p w14:paraId="3F6BD86F" w14:textId="77777777"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倘若閣下直接透過香港結算公司或經閣下的證券經紀持有國債，閣下可以透過香港聯交所出售國債。</w:t>
      </w:r>
    </w:p>
    <w:p w14:paraId="275AECBF" w14:textId="77777777" w:rsidR="00734DF1" w:rsidRPr="00DA1E7C" w:rsidRDefault="008C03FE" w:rsidP="00734DF1">
      <w:pPr>
        <w:pStyle w:val="Body"/>
        <w:rPr>
          <w:rFonts w:eastAsiaTheme="minorEastAsia" w:cs="Arial"/>
          <w:sz w:val="24"/>
          <w:lang w:eastAsia="zh-TW"/>
        </w:rPr>
      </w:pPr>
      <w:r w:rsidRPr="00DA1E7C">
        <w:rPr>
          <w:rFonts w:eastAsia="PMingLiU" w:cs="Arial" w:hint="eastAsia"/>
          <w:sz w:val="24"/>
          <w:lang w:eastAsia="zh-TW"/>
        </w:rPr>
        <w:t>倘若閣下直接透過香港結算公司或經閣下的證券經紀持有國債，並希望以場外交易的形式出售國債，閣下需指示香港結算公司或閣下的證券經紀把閣下希望出售的國債轉移予交易方。然而，有關的交易方、香港結算公司及／或閣下的證券經紀可能會就該等轉移向閣下收取費用。</w:t>
      </w:r>
    </w:p>
    <w:p w14:paraId="66392DBB" w14:textId="77777777" w:rsidR="00734DF1" w:rsidRPr="00DA1E7C" w:rsidRDefault="008C03FE" w:rsidP="00734DF1">
      <w:pPr>
        <w:pStyle w:val="Body"/>
        <w:rPr>
          <w:rFonts w:eastAsiaTheme="minorEastAsia" w:cs="Arial"/>
          <w:sz w:val="24"/>
          <w:lang w:eastAsia="zh-TW"/>
        </w:rPr>
      </w:pPr>
      <w:r w:rsidRPr="00DA1E7C">
        <w:rPr>
          <w:rFonts w:eastAsiaTheme="majorEastAsia" w:cs="Arial" w:hint="eastAsia"/>
          <w:b/>
          <w:bCs/>
          <w:sz w:val="24"/>
          <w:lang w:eastAsia="zh-TW"/>
        </w:rPr>
        <w:t>倘若閣下並非直接透過香港結算公司或經閣下的證券經紀持有國債，閣下能按以下方法出售閣下所持有的國債。</w:t>
      </w:r>
    </w:p>
    <w:p w14:paraId="3A9C50AD" w14:textId="77777777" w:rsidR="00734DF1" w:rsidRPr="00DA1E7C" w:rsidRDefault="008C03FE" w:rsidP="00734DF1">
      <w:pPr>
        <w:pStyle w:val="Body"/>
        <w:rPr>
          <w:rFonts w:eastAsia="PMingLiU" w:cs="Arial"/>
          <w:sz w:val="24"/>
          <w:lang w:eastAsia="zh-TW"/>
        </w:rPr>
      </w:pPr>
      <w:r w:rsidRPr="00DA1E7C">
        <w:rPr>
          <w:rFonts w:eastAsia="PMingLiU" w:cs="Arial" w:hint="eastAsia"/>
          <w:sz w:val="24"/>
          <w:lang w:eastAsia="zh-TW"/>
        </w:rPr>
        <w:t>倘若閣下並非直接透過香港結算公司或經閣下的證券經紀持有國債，閣下可以以場外交易的形式出售國債。</w:t>
      </w:r>
    </w:p>
    <w:p w14:paraId="19CFCC59" w14:textId="2E50A0AA" w:rsidR="00734DF1" w:rsidRPr="00DA1E7C" w:rsidRDefault="008C03FE" w:rsidP="00A924E5">
      <w:pPr>
        <w:pStyle w:val="Body"/>
        <w:rPr>
          <w:rFonts w:eastAsiaTheme="minorEastAsia" w:cs="Arial"/>
          <w:sz w:val="24"/>
          <w:lang w:eastAsia="zh-TW"/>
        </w:rPr>
      </w:pPr>
      <w:r w:rsidRPr="00DA1E7C">
        <w:rPr>
          <w:rFonts w:eastAsia="PMingLiU" w:cs="Arial" w:hint="eastAsia"/>
          <w:sz w:val="24"/>
          <w:lang w:eastAsia="zh-TW"/>
        </w:rPr>
        <w:t>倘若閣下在香港金融管理局運營的債務工具中央結算系統（「債務工具中央結算系統」）或透過在債務工具中央結算系統直接或間接的</w:t>
      </w:r>
      <w:r w:rsidR="0057287F" w:rsidRPr="0057287F">
        <w:rPr>
          <w:rFonts w:eastAsia="PMingLiU" w:cs="Arial" w:hint="eastAsia"/>
          <w:sz w:val="24"/>
          <w:lang w:eastAsia="zh-TW"/>
        </w:rPr>
        <w:t>託</w:t>
      </w:r>
      <w:r w:rsidRPr="00DA1E7C">
        <w:rPr>
          <w:rFonts w:eastAsia="PMingLiU" w:cs="Arial" w:hint="eastAsia"/>
          <w:sz w:val="24"/>
          <w:lang w:eastAsia="zh-TW"/>
        </w:rPr>
        <w:t>管人持有國債，並希望經香港聯交所出售該等國債，閣下須先將閣下希望出售的國債由閣下的債務工具中央結算系統帳户，或指示閣下的</w:t>
      </w:r>
      <w:r w:rsidR="0057287F" w:rsidRPr="0057287F">
        <w:rPr>
          <w:rFonts w:eastAsia="PMingLiU" w:cs="Arial" w:hint="eastAsia"/>
          <w:sz w:val="24"/>
          <w:lang w:eastAsia="zh-TW"/>
        </w:rPr>
        <w:t>託</w:t>
      </w:r>
      <w:r w:rsidRPr="00DA1E7C">
        <w:rPr>
          <w:rFonts w:eastAsia="PMingLiU" w:cs="Arial" w:hint="eastAsia"/>
          <w:sz w:val="24"/>
          <w:lang w:eastAsia="zh-TW"/>
        </w:rPr>
        <w:t>管人將閣下希望出售的國債由閣下在該</w:t>
      </w:r>
      <w:r w:rsidR="00AD6F59" w:rsidRPr="0057287F">
        <w:rPr>
          <w:rFonts w:eastAsia="PMingLiU" w:cs="Arial" w:hint="eastAsia"/>
          <w:sz w:val="24"/>
          <w:lang w:eastAsia="zh-TW"/>
        </w:rPr>
        <w:t>託</w:t>
      </w:r>
      <w:r w:rsidRPr="00DA1E7C">
        <w:rPr>
          <w:rFonts w:eastAsia="PMingLiU" w:cs="Arial" w:hint="eastAsia"/>
          <w:sz w:val="24"/>
          <w:lang w:eastAsia="zh-TW"/>
        </w:rPr>
        <w:t>管人開立的證券或投資帳戶，轉移到閣下在香港結算公司開立的投資者戶口或到閣下在證券經紀開立的證券或託管帳戶中，方可經香港聯交所出售閣下所持有的國債。閣下的</w:t>
      </w:r>
      <w:r w:rsidR="005749F7" w:rsidRPr="0057287F">
        <w:rPr>
          <w:rFonts w:eastAsia="PMingLiU" w:cs="Arial" w:hint="eastAsia"/>
          <w:sz w:val="24"/>
          <w:lang w:eastAsia="zh-TW"/>
        </w:rPr>
        <w:t>託</w:t>
      </w:r>
      <w:r w:rsidRPr="00DA1E7C">
        <w:rPr>
          <w:rFonts w:eastAsia="PMingLiU" w:cs="Arial" w:hint="eastAsia"/>
          <w:sz w:val="24"/>
          <w:lang w:eastAsia="zh-TW"/>
        </w:rPr>
        <w:t>管人、香港結算公司及</w:t>
      </w:r>
      <w:r w:rsidR="00AD6F59">
        <w:rPr>
          <w:rFonts w:asciiTheme="minorEastAsia" w:eastAsiaTheme="minorEastAsia" w:hAnsiTheme="minorEastAsia" w:cs="Arial" w:hint="eastAsia"/>
          <w:sz w:val="24"/>
          <w:lang w:eastAsia="zh-TW"/>
        </w:rPr>
        <w:t>/</w:t>
      </w:r>
      <w:r w:rsidRPr="00DA1E7C">
        <w:rPr>
          <w:rFonts w:eastAsia="PMingLiU" w:cs="Arial" w:hint="eastAsia"/>
          <w:sz w:val="24"/>
          <w:lang w:eastAsia="zh-TW"/>
        </w:rPr>
        <w:t>或閣下的證券經紀可能會就該等轉移向閣下收取費用。假如閣下未有在香港結算公司開立投資者戶口，亦沒有在證券經紀開立證券或託管帳戶，閣下須為此目的開立上述有關帳戶。在這些情況下，香港結算公司或閣下的證券經紀可能會因應其必須遵守的監管及內部規定而對閣下作出評估。或者，閣下的</w:t>
      </w:r>
      <w:r w:rsidR="005749F7" w:rsidRPr="0057287F">
        <w:rPr>
          <w:rFonts w:eastAsia="PMingLiU" w:cs="Arial" w:hint="eastAsia"/>
          <w:sz w:val="24"/>
          <w:lang w:eastAsia="zh-TW"/>
        </w:rPr>
        <w:t>託</w:t>
      </w:r>
      <w:r w:rsidRPr="00DA1E7C">
        <w:rPr>
          <w:rFonts w:eastAsia="PMingLiU" w:cs="Arial" w:hint="eastAsia"/>
          <w:sz w:val="24"/>
          <w:lang w:eastAsia="zh-TW"/>
        </w:rPr>
        <w:t>管人有可能可以將國債轉移到其透過債務工具中央結算系統及中央證券結算系統於香港結算公司開立的股份戶口中（換言之，閣下的</w:t>
      </w:r>
      <w:r w:rsidR="005749F7" w:rsidRPr="0057287F">
        <w:rPr>
          <w:rFonts w:eastAsia="PMingLiU" w:cs="Arial" w:hint="eastAsia"/>
          <w:sz w:val="24"/>
          <w:lang w:eastAsia="zh-TW"/>
        </w:rPr>
        <w:t>託</w:t>
      </w:r>
      <w:r w:rsidRPr="00DA1E7C">
        <w:rPr>
          <w:rFonts w:eastAsia="PMingLiU" w:cs="Arial" w:hint="eastAsia"/>
          <w:sz w:val="24"/>
          <w:lang w:eastAsia="zh-TW"/>
        </w:rPr>
        <w:t>管人有可能可以擔任證券經紀的角色）。閣下的</w:t>
      </w:r>
      <w:r w:rsidR="005749F7" w:rsidRPr="0057287F">
        <w:rPr>
          <w:rFonts w:eastAsia="PMingLiU" w:cs="Arial" w:hint="eastAsia"/>
          <w:sz w:val="24"/>
          <w:lang w:eastAsia="zh-TW"/>
        </w:rPr>
        <w:t>託</w:t>
      </w:r>
      <w:r w:rsidRPr="00DA1E7C">
        <w:rPr>
          <w:rFonts w:eastAsia="PMingLiU" w:cs="Arial" w:hint="eastAsia"/>
          <w:sz w:val="24"/>
          <w:lang w:eastAsia="zh-TW"/>
        </w:rPr>
        <w:t>管人及</w:t>
      </w:r>
      <w:r w:rsidR="00AD6F59">
        <w:rPr>
          <w:rFonts w:asciiTheme="minorEastAsia" w:eastAsiaTheme="minorEastAsia" w:hAnsiTheme="minorEastAsia" w:cs="Arial" w:hint="eastAsia"/>
          <w:sz w:val="24"/>
          <w:lang w:eastAsia="zh-TW"/>
        </w:rPr>
        <w:t>/</w:t>
      </w:r>
      <w:r w:rsidRPr="00DA1E7C">
        <w:rPr>
          <w:rFonts w:eastAsia="PMingLiU" w:cs="Arial" w:hint="eastAsia"/>
          <w:sz w:val="24"/>
          <w:lang w:eastAsia="zh-TW"/>
        </w:rPr>
        <w:t>或香港結算公司可能會就上述轉移向閣下收取費用。</w:t>
      </w:r>
    </w:p>
    <w:p w14:paraId="53DF4175" w14:textId="77777777" w:rsidR="004D1B3B" w:rsidRPr="00DA1E7C" w:rsidRDefault="008C03FE" w:rsidP="004D1B3B">
      <w:pPr>
        <w:pStyle w:val="Body"/>
        <w:rPr>
          <w:rFonts w:eastAsiaTheme="majorEastAsia" w:cs="Arial"/>
          <w:b/>
          <w:bCs/>
          <w:sz w:val="24"/>
          <w:lang w:eastAsia="zh-TW"/>
        </w:rPr>
      </w:pPr>
      <w:r w:rsidRPr="00DA1E7C">
        <w:rPr>
          <w:rFonts w:eastAsiaTheme="majorEastAsia" w:cs="Arial" w:hint="eastAsia"/>
          <w:b/>
          <w:bCs/>
          <w:sz w:val="24"/>
          <w:lang w:eastAsia="zh-TW"/>
        </w:rPr>
        <w:t>國債轉移</w:t>
      </w:r>
    </w:p>
    <w:p w14:paraId="36DEF827" w14:textId="77777777" w:rsidR="004D1B3B" w:rsidRPr="00DA1E7C" w:rsidRDefault="008C03FE" w:rsidP="004D1B3B">
      <w:pPr>
        <w:pStyle w:val="Body"/>
        <w:rPr>
          <w:rFonts w:eastAsia="PMingLiU" w:cs="Arial"/>
          <w:sz w:val="24"/>
          <w:lang w:eastAsia="zh-TW"/>
        </w:rPr>
      </w:pPr>
      <w:r w:rsidRPr="00DA1E7C">
        <w:rPr>
          <w:rFonts w:eastAsia="PMingLiU" w:cs="Arial" w:hint="eastAsia"/>
          <w:sz w:val="24"/>
          <w:lang w:eastAsia="zh-TW"/>
        </w:rPr>
        <w:t>國債可以透過帳面過帳的方式從一個債務工具中央結算系統帳戶轉到另一個債務工具中央結算系統帳戶。閣下可以把閣下的國債轉移予下列人士：</w:t>
      </w:r>
    </w:p>
    <w:p w14:paraId="22E2B10F" w14:textId="77777777" w:rsidR="004D1B3B" w:rsidRPr="00DA1E7C" w:rsidRDefault="008C03FE" w:rsidP="004D1B3B">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在債務工具中央結算系統持有帳戶的人士；</w:t>
      </w:r>
    </w:p>
    <w:p w14:paraId="6DAF4B76" w14:textId="77777777" w:rsidR="004D1B3B" w:rsidRPr="00DA1E7C" w:rsidRDefault="008C03FE" w:rsidP="004D1B3B">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在香港結算公司持有投資者戶口的人士；</w:t>
      </w:r>
    </w:p>
    <w:p w14:paraId="78EEE4DA" w14:textId="2BEA4EFE" w:rsidR="004D1B3B" w:rsidRPr="00DA1E7C" w:rsidRDefault="008C03FE" w:rsidP="004D1B3B">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在債務工具中央結算系統持有帳戶的</w:t>
      </w:r>
      <w:r w:rsidR="005749F7" w:rsidRPr="0057287F">
        <w:rPr>
          <w:rFonts w:eastAsia="PMingLiU" w:cs="Arial" w:hint="eastAsia"/>
          <w:sz w:val="24"/>
          <w:lang w:eastAsia="zh-TW"/>
        </w:rPr>
        <w:t>託</w:t>
      </w:r>
      <w:r w:rsidRPr="00DA1E7C">
        <w:rPr>
          <w:rFonts w:eastAsia="PMingLiU" w:cs="Arial" w:hint="eastAsia"/>
          <w:sz w:val="24"/>
          <w:lang w:eastAsia="zh-TW"/>
        </w:rPr>
        <w:t>管人；或</w:t>
      </w:r>
    </w:p>
    <w:p w14:paraId="7FCE6A1D" w14:textId="56E54236" w:rsidR="004D1B3B" w:rsidRPr="00DA1E7C" w:rsidRDefault="008C03FE" w:rsidP="004D1B3B">
      <w:pPr>
        <w:pStyle w:val="Body"/>
        <w:rPr>
          <w:rFonts w:eastAsia="PMingLiU" w:cs="Arial"/>
          <w:sz w:val="24"/>
          <w:lang w:eastAsia="zh-TW"/>
        </w:rPr>
      </w:pPr>
      <w:r w:rsidRPr="00DA1E7C">
        <w:rPr>
          <w:rFonts w:eastAsiaTheme="minorEastAsia" w:cs="Arial" w:hint="eastAsia"/>
          <w:sz w:val="24"/>
          <w:lang w:eastAsia="zh-TW"/>
        </w:rPr>
        <w:t>-</w:t>
      </w:r>
      <w:r w:rsidRPr="00DA1E7C">
        <w:rPr>
          <w:rFonts w:eastAsiaTheme="minorEastAsia" w:cs="Arial" w:hint="eastAsia"/>
          <w:sz w:val="24"/>
          <w:lang w:eastAsia="zh-TW"/>
        </w:rPr>
        <w:tab/>
      </w:r>
      <w:r w:rsidRPr="00DA1E7C">
        <w:rPr>
          <w:rFonts w:eastAsia="PMingLiU" w:cs="Arial" w:hint="eastAsia"/>
          <w:sz w:val="24"/>
          <w:lang w:eastAsia="zh-TW"/>
        </w:rPr>
        <w:t>在</w:t>
      </w:r>
      <w:r w:rsidR="005749F7" w:rsidRPr="0057287F">
        <w:rPr>
          <w:rFonts w:eastAsia="PMingLiU" w:cs="Arial" w:hint="eastAsia"/>
          <w:sz w:val="24"/>
          <w:lang w:eastAsia="zh-TW"/>
        </w:rPr>
        <w:t>託</w:t>
      </w:r>
      <w:r w:rsidRPr="00DA1E7C">
        <w:rPr>
          <w:rFonts w:eastAsia="PMingLiU" w:cs="Arial" w:hint="eastAsia"/>
          <w:sz w:val="24"/>
          <w:lang w:eastAsia="zh-TW"/>
        </w:rPr>
        <w:t>管人或證券經紀持有證券或託管帳戶的人士。</w:t>
      </w:r>
    </w:p>
    <w:p w14:paraId="2CC9E288" w14:textId="3429E696" w:rsidR="004D1B3B" w:rsidRPr="00DA1E7C" w:rsidRDefault="008C03FE" w:rsidP="004D1B3B">
      <w:pPr>
        <w:pStyle w:val="Body"/>
        <w:rPr>
          <w:rFonts w:eastAsiaTheme="minorEastAsia" w:cs="Arial"/>
          <w:sz w:val="24"/>
          <w:lang w:eastAsia="zh-TW"/>
        </w:rPr>
      </w:pPr>
      <w:r w:rsidRPr="00DA1E7C">
        <w:rPr>
          <w:rFonts w:eastAsia="PMingLiU" w:cs="Arial" w:hint="eastAsia"/>
          <w:sz w:val="24"/>
          <w:lang w:eastAsia="zh-TW"/>
        </w:rPr>
        <w:t>與轉移國債有關的交收及結算是透過債務工具中央結算系統，並根據適用於該系統的規則進行的。該等轉移將受限於適用的閣下與</w:t>
      </w:r>
      <w:r w:rsidR="005749F7" w:rsidRPr="0057287F">
        <w:rPr>
          <w:rFonts w:eastAsia="PMingLiU" w:cs="Arial" w:hint="eastAsia"/>
          <w:sz w:val="24"/>
          <w:lang w:eastAsia="zh-TW"/>
        </w:rPr>
        <w:t>託</w:t>
      </w:r>
      <w:r w:rsidRPr="00DA1E7C">
        <w:rPr>
          <w:rFonts w:eastAsia="PMingLiU" w:cs="Arial" w:hint="eastAsia"/>
          <w:sz w:val="24"/>
          <w:lang w:eastAsia="zh-TW"/>
        </w:rPr>
        <w:t>管人、香港結算公司或證券經紀的協議條款。</w:t>
      </w:r>
    </w:p>
    <w:p w14:paraId="580448F5" w14:textId="77777777" w:rsidR="004D1B3B" w:rsidRPr="00DA1E7C" w:rsidRDefault="008C03FE" w:rsidP="00F05718">
      <w:pPr>
        <w:pStyle w:val="Body"/>
        <w:keepNext/>
        <w:rPr>
          <w:rFonts w:eastAsiaTheme="minorEastAsia" w:cs="Arial"/>
          <w:sz w:val="24"/>
          <w:lang w:eastAsia="zh-TW"/>
        </w:rPr>
      </w:pPr>
      <w:r w:rsidRPr="00DA1E7C">
        <w:rPr>
          <w:rFonts w:eastAsiaTheme="majorEastAsia" w:cs="Arial" w:hint="eastAsia"/>
          <w:b/>
          <w:bCs/>
          <w:sz w:val="24"/>
          <w:lang w:eastAsia="zh-TW"/>
        </w:rPr>
        <w:t>國債的法律文件</w:t>
      </w:r>
    </w:p>
    <w:p w14:paraId="376FB8C5" w14:textId="77777777" w:rsidR="000D7331" w:rsidRPr="00DA1E7C" w:rsidRDefault="008C03FE" w:rsidP="000D7331">
      <w:pPr>
        <w:pStyle w:val="Body"/>
        <w:rPr>
          <w:rFonts w:eastAsia="PMingLiU" w:cs="Arial"/>
          <w:sz w:val="24"/>
          <w:lang w:eastAsia="zh-TW"/>
        </w:rPr>
      </w:pPr>
      <w:r w:rsidRPr="00DA1E7C">
        <w:rPr>
          <w:rFonts w:eastAsia="PMingLiU" w:cs="Arial" w:hint="eastAsia"/>
          <w:sz w:val="24"/>
          <w:lang w:eastAsia="zh-TW"/>
        </w:rPr>
        <w:t>閣下可於國債尚未償還時前往財務代理的辦事處（地址為香港中環畢打街</w:t>
      </w:r>
      <w:r w:rsidRPr="00DA1E7C">
        <w:rPr>
          <w:rFonts w:eastAsia="PMingLiU" w:cs="Arial"/>
          <w:sz w:val="24"/>
          <w:lang w:eastAsia="zh-TW"/>
        </w:rPr>
        <w:t>20</w:t>
      </w:r>
      <w:r w:rsidRPr="00DA1E7C">
        <w:rPr>
          <w:rFonts w:eastAsia="PMingLiU" w:cs="Arial" w:hint="eastAsia"/>
          <w:sz w:val="24"/>
          <w:lang w:eastAsia="zh-TW"/>
        </w:rPr>
        <w:t>號），查閱下列文件的副本（倘閣下索取任何影印本，須支付合理費用）。該辦事處僅於正常辦公時間開放，星期六、日或公眾假期休息：</w:t>
      </w:r>
    </w:p>
    <w:p w14:paraId="54102845" w14:textId="77777777" w:rsidR="000D7331" w:rsidRPr="00DA1E7C" w:rsidRDefault="008C03FE" w:rsidP="000D7331">
      <w:pPr>
        <w:pStyle w:val="Body"/>
        <w:rPr>
          <w:rFonts w:eastAsia="PMingLiU" w:cs="Arial"/>
          <w:sz w:val="24"/>
          <w:lang w:eastAsia="zh-TW"/>
        </w:rPr>
      </w:pPr>
      <w:r w:rsidRPr="00DA1E7C">
        <w:rPr>
          <w:rFonts w:eastAsia="PMingLiU" w:cs="Arial" w:hint="eastAsia"/>
          <w:sz w:val="24"/>
          <w:lang w:eastAsia="zh-TW"/>
        </w:rPr>
        <w:t>-</w:t>
      </w:r>
      <w:r w:rsidRPr="00DA1E7C">
        <w:rPr>
          <w:rFonts w:eastAsia="PMingLiU" w:cs="Arial" w:hint="eastAsia"/>
          <w:sz w:val="24"/>
          <w:lang w:eastAsia="zh-TW"/>
        </w:rPr>
        <w:tab/>
      </w:r>
      <w:r w:rsidRPr="00DA1E7C">
        <w:rPr>
          <w:rFonts w:eastAsia="PMingLiU" w:cs="Arial" w:hint="eastAsia"/>
          <w:sz w:val="24"/>
          <w:lang w:eastAsia="zh-TW"/>
        </w:rPr>
        <w:t>中華人民共和國憲法；及</w:t>
      </w:r>
    </w:p>
    <w:p w14:paraId="0AE5BC95" w14:textId="77777777" w:rsidR="000D7331" w:rsidRPr="00DA1E7C" w:rsidRDefault="008C03FE" w:rsidP="000D7331">
      <w:pPr>
        <w:pStyle w:val="Body"/>
        <w:rPr>
          <w:rFonts w:eastAsia="PMingLiU" w:cs="Arial"/>
          <w:sz w:val="24"/>
          <w:lang w:eastAsia="zh-TW"/>
        </w:rPr>
      </w:pPr>
      <w:r w:rsidRPr="00DA1E7C">
        <w:rPr>
          <w:rFonts w:eastAsia="PMingLiU" w:cs="Arial" w:hint="eastAsia"/>
          <w:sz w:val="24"/>
          <w:lang w:eastAsia="zh-TW"/>
        </w:rPr>
        <w:t>-</w:t>
      </w:r>
      <w:r w:rsidRPr="00DA1E7C">
        <w:rPr>
          <w:rFonts w:eastAsia="PMingLiU" w:cs="Arial" w:hint="eastAsia"/>
          <w:sz w:val="24"/>
          <w:lang w:eastAsia="zh-TW"/>
        </w:rPr>
        <w:tab/>
      </w:r>
      <w:r w:rsidRPr="00DA1E7C">
        <w:rPr>
          <w:rFonts w:eastAsia="PMingLiU" w:cs="Arial" w:hint="eastAsia"/>
          <w:sz w:val="24"/>
          <w:lang w:eastAsia="zh-TW"/>
        </w:rPr>
        <w:t>財務代理協議（中文本及英文譯本）。</w:t>
      </w:r>
    </w:p>
    <w:sectPr w:rsidR="000D7331" w:rsidRPr="00DA1E7C" w:rsidSect="000D7331">
      <w:pgSz w:w="11907" w:h="16839" w:code="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CA6D" w14:textId="77777777" w:rsidR="00183187" w:rsidRDefault="00183187">
      <w:r>
        <w:separator/>
      </w:r>
    </w:p>
  </w:endnote>
  <w:endnote w:type="continuationSeparator" w:id="0">
    <w:p w14:paraId="05F4634C" w14:textId="77777777" w:rsidR="00183187" w:rsidRDefault="0018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FF30" w14:textId="77777777" w:rsidR="003B10AD" w:rsidRDefault="003B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290B" w14:textId="77777777" w:rsidR="00473413" w:rsidRDefault="00473413" w:rsidP="00F05718">
    <w:pPr>
      <w:pStyle w:val="DocExCode"/>
      <w:jc w:val="center"/>
      <w:rPr>
        <w:rStyle w:val="PageNumber"/>
        <w:kern w:val="17"/>
      </w:rPr>
    </w:pPr>
  </w:p>
  <w:p w14:paraId="1C646B6E" w14:textId="77777777" w:rsidR="00F05718" w:rsidRDefault="00F05718" w:rsidP="00F05718">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247D36">
      <w:rPr>
        <w:rStyle w:val="PageNumber"/>
        <w:noProof/>
        <w:kern w:val="17"/>
      </w:rPr>
      <w:t>5</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0C46" w14:textId="77777777" w:rsidR="003B10AD" w:rsidRDefault="003B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ED530" w14:textId="77777777" w:rsidR="00183187" w:rsidRDefault="00183187">
      <w:r>
        <w:separator/>
      </w:r>
    </w:p>
  </w:footnote>
  <w:footnote w:type="continuationSeparator" w:id="0">
    <w:p w14:paraId="61FF5E78" w14:textId="77777777" w:rsidR="00183187" w:rsidRDefault="0018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DBA3" w14:textId="77777777" w:rsidR="003B10AD" w:rsidRDefault="003B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39D3" w14:textId="77777777" w:rsidR="003B10AD" w:rsidRDefault="003B1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3213" w14:textId="77777777" w:rsidR="003B10AD" w:rsidRDefault="003B1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3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1"/>
  </w:num>
  <w:num w:numId="3">
    <w:abstractNumId w:val="30"/>
  </w:num>
  <w:num w:numId="4">
    <w:abstractNumId w:val="14"/>
  </w:num>
  <w:num w:numId="5">
    <w:abstractNumId w:val="22"/>
  </w:num>
  <w:num w:numId="6">
    <w:abstractNumId w:val="38"/>
  </w:num>
  <w:num w:numId="7">
    <w:abstractNumId w:val="14"/>
  </w:num>
  <w:num w:numId="8">
    <w:abstractNumId w:val="5"/>
  </w:num>
  <w:num w:numId="9">
    <w:abstractNumId w:val="21"/>
  </w:num>
  <w:num w:numId="10">
    <w:abstractNumId w:val="17"/>
  </w:num>
  <w:num w:numId="11">
    <w:abstractNumId w:val="6"/>
  </w:num>
  <w:num w:numId="12">
    <w:abstractNumId w:val="13"/>
  </w:num>
  <w:num w:numId="13">
    <w:abstractNumId w:val="11"/>
  </w:num>
  <w:num w:numId="14">
    <w:abstractNumId w:val="28"/>
  </w:num>
  <w:num w:numId="15">
    <w:abstractNumId w:val="41"/>
  </w:num>
  <w:num w:numId="16">
    <w:abstractNumId w:val="7"/>
  </w:num>
  <w:num w:numId="17">
    <w:abstractNumId w:val="18"/>
  </w:num>
  <w:num w:numId="18">
    <w:abstractNumId w:val="25"/>
  </w:num>
  <w:num w:numId="19">
    <w:abstractNumId w:val="20"/>
  </w:num>
  <w:num w:numId="20">
    <w:abstractNumId w:val="24"/>
  </w:num>
  <w:num w:numId="21">
    <w:abstractNumId w:val="23"/>
  </w:num>
  <w:num w:numId="22">
    <w:abstractNumId w:val="8"/>
  </w:num>
  <w:num w:numId="23">
    <w:abstractNumId w:val="35"/>
  </w:num>
  <w:num w:numId="24">
    <w:abstractNumId w:val="34"/>
  </w:num>
  <w:num w:numId="25">
    <w:abstractNumId w:val="42"/>
  </w:num>
  <w:num w:numId="26">
    <w:abstractNumId w:val="1"/>
  </w:num>
  <w:num w:numId="27">
    <w:abstractNumId w:val="30"/>
  </w:num>
  <w:num w:numId="28">
    <w:abstractNumId w:val="29"/>
  </w:num>
  <w:num w:numId="29">
    <w:abstractNumId w:val="40"/>
  </w:num>
  <w:num w:numId="30">
    <w:abstractNumId w:val="31"/>
  </w:num>
  <w:num w:numId="31">
    <w:abstractNumId w:val="27"/>
  </w:num>
  <w:num w:numId="32">
    <w:abstractNumId w:val="39"/>
  </w:num>
  <w:num w:numId="33">
    <w:abstractNumId w:val="37"/>
  </w:num>
  <w:num w:numId="34">
    <w:abstractNumId w:val="3"/>
  </w:num>
  <w:num w:numId="35">
    <w:abstractNumId w:val="16"/>
  </w:num>
  <w:num w:numId="36">
    <w:abstractNumId w:val="4"/>
  </w:num>
  <w:num w:numId="37">
    <w:abstractNumId w:val="12"/>
  </w:num>
  <w:num w:numId="38">
    <w:abstractNumId w:val="2"/>
  </w:num>
  <w:num w:numId="39">
    <w:abstractNumId w:val="32"/>
  </w:num>
  <w:num w:numId="40">
    <w:abstractNumId w:val="0"/>
  </w:num>
  <w:num w:numId="41">
    <w:abstractNumId w:val="15"/>
  </w:num>
  <w:num w:numId="42">
    <w:abstractNumId w:val="33"/>
  </w:num>
  <w:num w:numId="43">
    <w:abstractNumId w:val="10"/>
  </w:num>
  <w:num w:numId="44">
    <w:abstractNumId w:val="19"/>
  </w:num>
  <w:num w:numId="45">
    <w:abstractNumId w:val="36"/>
  </w:num>
  <w:num w:numId="46">
    <w:abstractNumId w:val="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75"/>
  <w:noPunctuationKerning/>
  <w:characterSpacingControl w:val="doNotCompress"/>
  <w:hdrShapeDefaults>
    <o:shapedefaults v:ext="edit" spidmax="901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
    <w:docVar w:name="TMS_CultureID" w:val="English-UK"/>
    <w:docVar w:name="TMS_OfficeID" w:val="HongKong"/>
    <w:docVar w:name="TMS_TEMPLATE_ID" w:val="HouseStyle"/>
  </w:docVars>
  <w:rsids>
    <w:rsidRoot w:val="008C03FE"/>
    <w:rsid w:val="00032656"/>
    <w:rsid w:val="00036C01"/>
    <w:rsid w:val="00040D70"/>
    <w:rsid w:val="00051947"/>
    <w:rsid w:val="00074F8C"/>
    <w:rsid w:val="000A307D"/>
    <w:rsid w:val="000C2410"/>
    <w:rsid w:val="000F5A2A"/>
    <w:rsid w:val="00180FC9"/>
    <w:rsid w:val="00183187"/>
    <w:rsid w:val="00184981"/>
    <w:rsid w:val="00195153"/>
    <w:rsid w:val="001B60E8"/>
    <w:rsid w:val="001C197E"/>
    <w:rsid w:val="001F3B9C"/>
    <w:rsid w:val="00200F39"/>
    <w:rsid w:val="00220C64"/>
    <w:rsid w:val="00225EC6"/>
    <w:rsid w:val="002270BD"/>
    <w:rsid w:val="00246801"/>
    <w:rsid w:val="00247D36"/>
    <w:rsid w:val="00293FF4"/>
    <w:rsid w:val="002C1741"/>
    <w:rsid w:val="002C5F02"/>
    <w:rsid w:val="002D4AE7"/>
    <w:rsid w:val="003005A8"/>
    <w:rsid w:val="00300680"/>
    <w:rsid w:val="003034A2"/>
    <w:rsid w:val="00341347"/>
    <w:rsid w:val="003A2271"/>
    <w:rsid w:val="003A5A12"/>
    <w:rsid w:val="003B10AD"/>
    <w:rsid w:val="003C7B84"/>
    <w:rsid w:val="003F68E2"/>
    <w:rsid w:val="003F6CCD"/>
    <w:rsid w:val="003F7194"/>
    <w:rsid w:val="00402A1F"/>
    <w:rsid w:val="004142F4"/>
    <w:rsid w:val="00422F15"/>
    <w:rsid w:val="00442798"/>
    <w:rsid w:val="00444314"/>
    <w:rsid w:val="004530E6"/>
    <w:rsid w:val="00460095"/>
    <w:rsid w:val="00473413"/>
    <w:rsid w:val="00497DF7"/>
    <w:rsid w:val="004A43B1"/>
    <w:rsid w:val="004F1CC0"/>
    <w:rsid w:val="0051298F"/>
    <w:rsid w:val="0055521F"/>
    <w:rsid w:val="0057287F"/>
    <w:rsid w:val="005733B9"/>
    <w:rsid w:val="005749F7"/>
    <w:rsid w:val="005760E5"/>
    <w:rsid w:val="005C28C8"/>
    <w:rsid w:val="005D6833"/>
    <w:rsid w:val="005F592C"/>
    <w:rsid w:val="005F788B"/>
    <w:rsid w:val="00616444"/>
    <w:rsid w:val="0062739F"/>
    <w:rsid w:val="00636B4B"/>
    <w:rsid w:val="0065683D"/>
    <w:rsid w:val="00657836"/>
    <w:rsid w:val="00675382"/>
    <w:rsid w:val="006819AC"/>
    <w:rsid w:val="006B13EF"/>
    <w:rsid w:val="006B3AE1"/>
    <w:rsid w:val="006B6541"/>
    <w:rsid w:val="006C3297"/>
    <w:rsid w:val="006C71BF"/>
    <w:rsid w:val="00704F31"/>
    <w:rsid w:val="00715F6B"/>
    <w:rsid w:val="00720103"/>
    <w:rsid w:val="00725D78"/>
    <w:rsid w:val="007264EC"/>
    <w:rsid w:val="00741F03"/>
    <w:rsid w:val="00755DF0"/>
    <w:rsid w:val="0078378C"/>
    <w:rsid w:val="00796E5D"/>
    <w:rsid w:val="007A15C9"/>
    <w:rsid w:val="007D1FEE"/>
    <w:rsid w:val="007D70C9"/>
    <w:rsid w:val="007E65F5"/>
    <w:rsid w:val="007E78D0"/>
    <w:rsid w:val="00822EAB"/>
    <w:rsid w:val="00830C14"/>
    <w:rsid w:val="00834AEE"/>
    <w:rsid w:val="00860970"/>
    <w:rsid w:val="00862BD5"/>
    <w:rsid w:val="00863629"/>
    <w:rsid w:val="008A42D5"/>
    <w:rsid w:val="008B34A2"/>
    <w:rsid w:val="008C03FE"/>
    <w:rsid w:val="008C2F6A"/>
    <w:rsid w:val="008D69D6"/>
    <w:rsid w:val="008E5CC7"/>
    <w:rsid w:val="0096267C"/>
    <w:rsid w:val="00981D6A"/>
    <w:rsid w:val="009A720A"/>
    <w:rsid w:val="009D2592"/>
    <w:rsid w:val="00A71E6C"/>
    <w:rsid w:val="00A7405A"/>
    <w:rsid w:val="00A77440"/>
    <w:rsid w:val="00A96F14"/>
    <w:rsid w:val="00AB5519"/>
    <w:rsid w:val="00AD6F59"/>
    <w:rsid w:val="00AF6F5D"/>
    <w:rsid w:val="00B13CE7"/>
    <w:rsid w:val="00B30408"/>
    <w:rsid w:val="00B35811"/>
    <w:rsid w:val="00B36DF0"/>
    <w:rsid w:val="00B4000E"/>
    <w:rsid w:val="00B54852"/>
    <w:rsid w:val="00B63869"/>
    <w:rsid w:val="00B958FE"/>
    <w:rsid w:val="00B95F36"/>
    <w:rsid w:val="00BB1101"/>
    <w:rsid w:val="00BB54F9"/>
    <w:rsid w:val="00BE3F93"/>
    <w:rsid w:val="00BE5B7C"/>
    <w:rsid w:val="00BF06B3"/>
    <w:rsid w:val="00BF59FF"/>
    <w:rsid w:val="00C02D30"/>
    <w:rsid w:val="00C064D0"/>
    <w:rsid w:val="00C14BA1"/>
    <w:rsid w:val="00C42F30"/>
    <w:rsid w:val="00C51473"/>
    <w:rsid w:val="00C868BA"/>
    <w:rsid w:val="00C8779A"/>
    <w:rsid w:val="00CC4962"/>
    <w:rsid w:val="00CE12A8"/>
    <w:rsid w:val="00CF695F"/>
    <w:rsid w:val="00D17BD5"/>
    <w:rsid w:val="00DA0C0B"/>
    <w:rsid w:val="00DA1A6F"/>
    <w:rsid w:val="00DA1E7C"/>
    <w:rsid w:val="00DA2E55"/>
    <w:rsid w:val="00DB0559"/>
    <w:rsid w:val="00DD0C78"/>
    <w:rsid w:val="00E16459"/>
    <w:rsid w:val="00E3762B"/>
    <w:rsid w:val="00E52C93"/>
    <w:rsid w:val="00E6334C"/>
    <w:rsid w:val="00E655BF"/>
    <w:rsid w:val="00E72AD8"/>
    <w:rsid w:val="00E936D9"/>
    <w:rsid w:val="00EA6A23"/>
    <w:rsid w:val="00EB393D"/>
    <w:rsid w:val="00F00C0A"/>
    <w:rsid w:val="00F05718"/>
    <w:rsid w:val="00F1752C"/>
    <w:rsid w:val="00F51C7D"/>
    <w:rsid w:val="00F7590C"/>
    <w:rsid w:val="00F82847"/>
    <w:rsid w:val="00F90AF3"/>
    <w:rsid w:val="00FA2872"/>
    <w:rsid w:val="00FB3E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5697BD38"/>
  <w15:docId w15:val="{F94FB4AC-4B6D-4938-8D4C-BC866F72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4"/>
      </w:numPr>
      <w:spacing w:before="280" w:after="140" w:line="290" w:lineRule="auto"/>
      <w:jc w:val="both"/>
      <w:outlineLvl w:val="0"/>
    </w:pPr>
    <w:rPr>
      <w:rFonts w:eastAsia="SimHei"/>
      <w:b/>
      <w:bCs/>
      <w:kern w:val="20"/>
      <w:sz w:val="22"/>
      <w:szCs w:val="32"/>
    </w:rPr>
  </w:style>
  <w:style w:type="paragraph" w:customStyle="1" w:styleId="Level2">
    <w:name w:val="Level 2"/>
    <w:basedOn w:val="Normal"/>
    <w:rsid w:val="00097071"/>
    <w:pPr>
      <w:numPr>
        <w:ilvl w:val="1"/>
        <w:numId w:val="24"/>
      </w:numPr>
      <w:spacing w:after="140" w:line="290" w:lineRule="auto"/>
      <w:jc w:val="both"/>
    </w:pPr>
    <w:rPr>
      <w:kern w:val="20"/>
      <w:szCs w:val="28"/>
    </w:rPr>
  </w:style>
  <w:style w:type="paragraph" w:customStyle="1" w:styleId="Level3">
    <w:name w:val="Level 3"/>
    <w:basedOn w:val="Normal"/>
    <w:rsid w:val="00097071"/>
    <w:pPr>
      <w:numPr>
        <w:ilvl w:val="2"/>
        <w:numId w:val="24"/>
      </w:numPr>
      <w:spacing w:after="140" w:line="290" w:lineRule="auto"/>
      <w:jc w:val="both"/>
    </w:pPr>
    <w:rPr>
      <w:kern w:val="20"/>
      <w:szCs w:val="28"/>
    </w:rPr>
  </w:style>
  <w:style w:type="paragraph" w:customStyle="1" w:styleId="Level4">
    <w:name w:val="Level 4"/>
    <w:basedOn w:val="Normal"/>
    <w:rsid w:val="00097071"/>
    <w:pPr>
      <w:numPr>
        <w:ilvl w:val="3"/>
        <w:numId w:val="24"/>
      </w:numPr>
      <w:spacing w:after="140" w:line="290" w:lineRule="auto"/>
      <w:jc w:val="both"/>
    </w:pPr>
    <w:rPr>
      <w:kern w:val="20"/>
    </w:rPr>
  </w:style>
  <w:style w:type="paragraph" w:customStyle="1" w:styleId="Level5">
    <w:name w:val="Level 5"/>
    <w:basedOn w:val="Normal"/>
    <w:rsid w:val="00097071"/>
    <w:pPr>
      <w:numPr>
        <w:ilvl w:val="4"/>
        <w:numId w:val="24"/>
      </w:numPr>
      <w:spacing w:after="140" w:line="290" w:lineRule="auto"/>
      <w:jc w:val="both"/>
    </w:pPr>
    <w:rPr>
      <w:kern w:val="20"/>
    </w:rPr>
  </w:style>
  <w:style w:type="paragraph" w:customStyle="1" w:styleId="Level6">
    <w:name w:val="Level 6"/>
    <w:basedOn w:val="Normal"/>
    <w:rsid w:val="00097071"/>
    <w:pPr>
      <w:numPr>
        <w:ilvl w:val="5"/>
        <w:numId w:val="24"/>
      </w:numPr>
      <w:spacing w:after="140" w:line="290" w:lineRule="auto"/>
      <w:jc w:val="both"/>
    </w:pPr>
    <w:rPr>
      <w:kern w:val="20"/>
    </w:rPr>
  </w:style>
  <w:style w:type="paragraph" w:customStyle="1" w:styleId="Parties">
    <w:name w:val="Parties"/>
    <w:basedOn w:val="Normal"/>
    <w:rsid w:val="00097071"/>
    <w:pPr>
      <w:numPr>
        <w:numId w:val="26"/>
      </w:numPr>
      <w:spacing w:after="140" w:line="290" w:lineRule="auto"/>
      <w:jc w:val="both"/>
    </w:pPr>
    <w:rPr>
      <w:kern w:val="20"/>
    </w:rPr>
  </w:style>
  <w:style w:type="paragraph" w:customStyle="1" w:styleId="Recitals">
    <w:name w:val="Recitals"/>
    <w:basedOn w:val="Normal"/>
    <w:rsid w:val="00097071"/>
    <w:pPr>
      <w:numPr>
        <w:numId w:val="27"/>
      </w:numPr>
      <w:spacing w:after="140" w:line="290" w:lineRule="auto"/>
      <w:jc w:val="both"/>
    </w:pPr>
    <w:rPr>
      <w:kern w:val="20"/>
    </w:rPr>
  </w:style>
  <w:style w:type="paragraph" w:customStyle="1" w:styleId="alpha1">
    <w:name w:val="alpha 1"/>
    <w:basedOn w:val="Normal"/>
    <w:rsid w:val="00097071"/>
    <w:pPr>
      <w:numPr>
        <w:numId w:val="5"/>
      </w:numPr>
      <w:spacing w:after="140" w:line="290" w:lineRule="auto"/>
      <w:jc w:val="both"/>
    </w:pPr>
    <w:rPr>
      <w:kern w:val="20"/>
      <w:szCs w:val="20"/>
    </w:rPr>
  </w:style>
  <w:style w:type="paragraph" w:customStyle="1" w:styleId="alpha2">
    <w:name w:val="alpha 2"/>
    <w:basedOn w:val="Normal"/>
    <w:rsid w:val="00097071"/>
    <w:pPr>
      <w:numPr>
        <w:numId w:val="6"/>
      </w:numPr>
      <w:spacing w:after="140" w:line="290" w:lineRule="auto"/>
      <w:jc w:val="both"/>
    </w:pPr>
    <w:rPr>
      <w:kern w:val="20"/>
      <w:szCs w:val="20"/>
    </w:rPr>
  </w:style>
  <w:style w:type="paragraph" w:customStyle="1" w:styleId="alpha3">
    <w:name w:val="alpha 3"/>
    <w:basedOn w:val="Normal"/>
    <w:rsid w:val="00097071"/>
    <w:pPr>
      <w:numPr>
        <w:numId w:val="7"/>
      </w:numPr>
      <w:spacing w:after="140" w:line="290" w:lineRule="auto"/>
      <w:jc w:val="both"/>
    </w:pPr>
    <w:rPr>
      <w:kern w:val="20"/>
      <w:szCs w:val="20"/>
    </w:rPr>
  </w:style>
  <w:style w:type="paragraph" w:customStyle="1" w:styleId="alpha4">
    <w:name w:val="alpha 4"/>
    <w:basedOn w:val="Normal"/>
    <w:rsid w:val="00097071"/>
    <w:pPr>
      <w:numPr>
        <w:numId w:val="8"/>
      </w:numPr>
      <w:spacing w:after="140" w:line="290" w:lineRule="auto"/>
      <w:jc w:val="both"/>
    </w:pPr>
    <w:rPr>
      <w:kern w:val="20"/>
      <w:szCs w:val="20"/>
    </w:rPr>
  </w:style>
  <w:style w:type="paragraph" w:customStyle="1" w:styleId="alpha5">
    <w:name w:val="alpha 5"/>
    <w:basedOn w:val="Normal"/>
    <w:rsid w:val="00097071"/>
    <w:pPr>
      <w:numPr>
        <w:numId w:val="9"/>
      </w:numPr>
      <w:spacing w:after="140" w:line="290" w:lineRule="auto"/>
      <w:jc w:val="both"/>
    </w:pPr>
    <w:rPr>
      <w:kern w:val="20"/>
      <w:szCs w:val="20"/>
    </w:rPr>
  </w:style>
  <w:style w:type="paragraph" w:customStyle="1" w:styleId="alpha6">
    <w:name w:val="alpha 6"/>
    <w:basedOn w:val="Normal"/>
    <w:rsid w:val="00097071"/>
    <w:pPr>
      <w:numPr>
        <w:numId w:val="10"/>
      </w:numPr>
      <w:spacing w:after="140" w:line="290" w:lineRule="auto"/>
      <w:jc w:val="both"/>
    </w:pPr>
    <w:rPr>
      <w:kern w:val="20"/>
      <w:szCs w:val="20"/>
    </w:rPr>
  </w:style>
  <w:style w:type="paragraph" w:customStyle="1" w:styleId="bullet1">
    <w:name w:val="bullet 1"/>
    <w:basedOn w:val="Normal"/>
    <w:rsid w:val="00097071"/>
    <w:pPr>
      <w:numPr>
        <w:numId w:val="11"/>
      </w:numPr>
      <w:spacing w:after="140" w:line="290" w:lineRule="auto"/>
      <w:jc w:val="both"/>
    </w:pPr>
    <w:rPr>
      <w:kern w:val="20"/>
    </w:rPr>
  </w:style>
  <w:style w:type="paragraph" w:customStyle="1" w:styleId="bullet2">
    <w:name w:val="bullet 2"/>
    <w:basedOn w:val="Normal"/>
    <w:rsid w:val="00097071"/>
    <w:pPr>
      <w:numPr>
        <w:numId w:val="12"/>
      </w:numPr>
      <w:spacing w:after="140" w:line="290" w:lineRule="auto"/>
      <w:jc w:val="both"/>
    </w:pPr>
    <w:rPr>
      <w:kern w:val="20"/>
    </w:rPr>
  </w:style>
  <w:style w:type="paragraph" w:customStyle="1" w:styleId="bullet3">
    <w:name w:val="bullet 3"/>
    <w:basedOn w:val="Normal"/>
    <w:rsid w:val="00097071"/>
    <w:pPr>
      <w:numPr>
        <w:numId w:val="13"/>
      </w:numPr>
      <w:spacing w:after="140" w:line="290" w:lineRule="auto"/>
      <w:jc w:val="both"/>
    </w:pPr>
    <w:rPr>
      <w:kern w:val="20"/>
    </w:rPr>
  </w:style>
  <w:style w:type="paragraph" w:customStyle="1" w:styleId="bullet4">
    <w:name w:val="bullet 4"/>
    <w:basedOn w:val="Normal"/>
    <w:rsid w:val="00097071"/>
    <w:pPr>
      <w:numPr>
        <w:numId w:val="14"/>
      </w:numPr>
      <w:spacing w:after="140" w:line="290" w:lineRule="auto"/>
      <w:jc w:val="both"/>
    </w:pPr>
    <w:rPr>
      <w:kern w:val="20"/>
    </w:rPr>
  </w:style>
  <w:style w:type="paragraph" w:customStyle="1" w:styleId="bullet5">
    <w:name w:val="bullet 5"/>
    <w:basedOn w:val="Normal"/>
    <w:rsid w:val="00097071"/>
    <w:pPr>
      <w:numPr>
        <w:numId w:val="15"/>
      </w:numPr>
      <w:spacing w:after="140" w:line="290" w:lineRule="auto"/>
      <w:jc w:val="both"/>
    </w:pPr>
    <w:rPr>
      <w:kern w:val="20"/>
    </w:rPr>
  </w:style>
  <w:style w:type="paragraph" w:customStyle="1" w:styleId="bullet6">
    <w:name w:val="bullet 6"/>
    <w:basedOn w:val="Normal"/>
    <w:rsid w:val="00097071"/>
    <w:pPr>
      <w:numPr>
        <w:numId w:val="16"/>
      </w:numPr>
      <w:spacing w:after="140" w:line="290" w:lineRule="auto"/>
      <w:jc w:val="both"/>
    </w:pPr>
    <w:rPr>
      <w:kern w:val="20"/>
    </w:rPr>
  </w:style>
  <w:style w:type="paragraph" w:customStyle="1" w:styleId="roman1">
    <w:name w:val="roman 1"/>
    <w:basedOn w:val="Normal"/>
    <w:rsid w:val="00097071"/>
    <w:pPr>
      <w:numPr>
        <w:numId w:val="28"/>
      </w:numPr>
      <w:spacing w:after="140" w:line="290" w:lineRule="auto"/>
      <w:jc w:val="both"/>
    </w:pPr>
    <w:rPr>
      <w:kern w:val="20"/>
      <w:szCs w:val="20"/>
    </w:rPr>
  </w:style>
  <w:style w:type="paragraph" w:customStyle="1" w:styleId="roman2">
    <w:name w:val="roman 2"/>
    <w:basedOn w:val="Normal"/>
    <w:rsid w:val="00097071"/>
    <w:pPr>
      <w:numPr>
        <w:numId w:val="29"/>
      </w:numPr>
      <w:spacing w:after="140" w:line="290" w:lineRule="auto"/>
      <w:jc w:val="both"/>
    </w:pPr>
    <w:rPr>
      <w:kern w:val="20"/>
      <w:szCs w:val="20"/>
    </w:rPr>
  </w:style>
  <w:style w:type="paragraph" w:customStyle="1" w:styleId="roman3">
    <w:name w:val="roman 3"/>
    <w:basedOn w:val="Normal"/>
    <w:rsid w:val="00097071"/>
    <w:pPr>
      <w:numPr>
        <w:numId w:val="30"/>
      </w:numPr>
      <w:spacing w:after="140" w:line="290" w:lineRule="auto"/>
      <w:jc w:val="both"/>
    </w:pPr>
    <w:rPr>
      <w:kern w:val="20"/>
      <w:szCs w:val="20"/>
    </w:rPr>
  </w:style>
  <w:style w:type="paragraph" w:customStyle="1" w:styleId="roman4">
    <w:name w:val="roman 4"/>
    <w:basedOn w:val="Normal"/>
    <w:rsid w:val="00097071"/>
    <w:pPr>
      <w:numPr>
        <w:numId w:val="31"/>
      </w:numPr>
      <w:spacing w:after="140" w:line="290" w:lineRule="auto"/>
      <w:jc w:val="both"/>
    </w:pPr>
    <w:rPr>
      <w:kern w:val="20"/>
      <w:szCs w:val="20"/>
    </w:rPr>
  </w:style>
  <w:style w:type="paragraph" w:customStyle="1" w:styleId="roman5">
    <w:name w:val="roman 5"/>
    <w:basedOn w:val="Normal"/>
    <w:rsid w:val="00097071"/>
    <w:pPr>
      <w:numPr>
        <w:numId w:val="32"/>
      </w:numPr>
      <w:spacing w:after="140" w:line="290" w:lineRule="auto"/>
      <w:jc w:val="both"/>
    </w:pPr>
    <w:rPr>
      <w:kern w:val="20"/>
      <w:szCs w:val="20"/>
    </w:rPr>
  </w:style>
  <w:style w:type="paragraph" w:customStyle="1" w:styleId="roman6">
    <w:name w:val="roman 6"/>
    <w:basedOn w:val="Normal"/>
    <w:rsid w:val="00097071"/>
    <w:pPr>
      <w:numPr>
        <w:numId w:val="33"/>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rFonts w:eastAsia="SimHei"/>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eastAsia="SimHei"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rFonts w:eastAsia="SimHei"/>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rFonts w:eastAsia="SimHei"/>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rFonts w:eastAsia="SimHei"/>
      <w:b/>
      <w:kern w:val="20"/>
    </w:rPr>
  </w:style>
  <w:style w:type="paragraph" w:customStyle="1" w:styleId="SubHead">
    <w:name w:val="SubHead"/>
    <w:basedOn w:val="Normal"/>
    <w:next w:val="Body"/>
    <w:rsid w:val="00097071"/>
    <w:pPr>
      <w:keepNext/>
      <w:spacing w:before="120" w:after="60" w:line="290" w:lineRule="auto"/>
      <w:jc w:val="both"/>
      <w:outlineLvl w:val="0"/>
    </w:pPr>
    <w:rPr>
      <w:rFonts w:eastAsia="SimHei"/>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rFonts w:eastAsia="SimHei"/>
      <w:b/>
      <w:kern w:val="23"/>
      <w:sz w:val="23"/>
    </w:rPr>
  </w:style>
  <w:style w:type="paragraph" w:customStyle="1" w:styleId="Schedule1">
    <w:name w:val="Schedule 1"/>
    <w:basedOn w:val="Normal"/>
    <w:rsid w:val="00097071"/>
    <w:pPr>
      <w:numPr>
        <w:numId w:val="34"/>
      </w:numPr>
      <w:spacing w:after="140" w:line="290" w:lineRule="auto"/>
      <w:jc w:val="both"/>
    </w:pPr>
    <w:rPr>
      <w:kern w:val="20"/>
    </w:rPr>
  </w:style>
  <w:style w:type="paragraph" w:customStyle="1" w:styleId="Schedule2">
    <w:name w:val="Schedule 2"/>
    <w:basedOn w:val="Normal"/>
    <w:rsid w:val="00097071"/>
    <w:pPr>
      <w:numPr>
        <w:ilvl w:val="1"/>
        <w:numId w:val="34"/>
      </w:numPr>
      <w:spacing w:after="140" w:line="290" w:lineRule="auto"/>
      <w:jc w:val="both"/>
    </w:pPr>
    <w:rPr>
      <w:kern w:val="20"/>
    </w:rPr>
  </w:style>
  <w:style w:type="paragraph" w:customStyle="1" w:styleId="Schedule3">
    <w:name w:val="Schedule 3"/>
    <w:basedOn w:val="Normal"/>
    <w:rsid w:val="00097071"/>
    <w:pPr>
      <w:numPr>
        <w:ilvl w:val="2"/>
        <w:numId w:val="34"/>
      </w:numPr>
      <w:spacing w:after="140" w:line="290" w:lineRule="auto"/>
      <w:jc w:val="both"/>
    </w:pPr>
    <w:rPr>
      <w:kern w:val="20"/>
    </w:rPr>
  </w:style>
  <w:style w:type="paragraph" w:customStyle="1" w:styleId="Schedule4">
    <w:name w:val="Schedule 4"/>
    <w:basedOn w:val="Normal"/>
    <w:rsid w:val="00097071"/>
    <w:pPr>
      <w:numPr>
        <w:ilvl w:val="3"/>
        <w:numId w:val="34"/>
      </w:numPr>
      <w:spacing w:after="140" w:line="290" w:lineRule="auto"/>
      <w:jc w:val="both"/>
    </w:pPr>
    <w:rPr>
      <w:kern w:val="20"/>
    </w:rPr>
  </w:style>
  <w:style w:type="paragraph" w:customStyle="1" w:styleId="Schedule5">
    <w:name w:val="Schedule 5"/>
    <w:basedOn w:val="Normal"/>
    <w:rsid w:val="00097071"/>
    <w:pPr>
      <w:numPr>
        <w:ilvl w:val="4"/>
        <w:numId w:val="34"/>
      </w:numPr>
      <w:spacing w:after="140" w:line="290" w:lineRule="auto"/>
      <w:jc w:val="both"/>
    </w:pPr>
    <w:rPr>
      <w:kern w:val="20"/>
    </w:rPr>
  </w:style>
  <w:style w:type="paragraph" w:customStyle="1" w:styleId="Schedule6">
    <w:name w:val="Schedule 6"/>
    <w:basedOn w:val="Normal"/>
    <w:rsid w:val="00097071"/>
    <w:pPr>
      <w:numPr>
        <w:ilvl w:val="5"/>
        <w:numId w:val="34"/>
      </w:numPr>
      <w:spacing w:after="140" w:line="290" w:lineRule="auto"/>
      <w:jc w:val="both"/>
    </w:pPr>
    <w:rPr>
      <w:kern w:val="20"/>
    </w:rPr>
  </w:style>
  <w:style w:type="paragraph" w:customStyle="1" w:styleId="TCLevel1">
    <w:name w:val="T+C Level 1"/>
    <w:basedOn w:val="Normal"/>
    <w:next w:val="TCLevel2"/>
    <w:rsid w:val="00097071"/>
    <w:pPr>
      <w:keepNext/>
      <w:numPr>
        <w:numId w:val="35"/>
      </w:numPr>
      <w:spacing w:before="140" w:line="290" w:lineRule="auto"/>
      <w:jc w:val="both"/>
      <w:outlineLvl w:val="0"/>
    </w:pPr>
    <w:rPr>
      <w:rFonts w:eastAsia="SimHei"/>
      <w:b/>
      <w:kern w:val="20"/>
    </w:rPr>
  </w:style>
  <w:style w:type="paragraph" w:customStyle="1" w:styleId="TCLevel2">
    <w:name w:val="T+C Level 2"/>
    <w:basedOn w:val="Normal"/>
    <w:rsid w:val="00097071"/>
    <w:pPr>
      <w:numPr>
        <w:ilvl w:val="1"/>
        <w:numId w:val="35"/>
      </w:numPr>
      <w:spacing w:after="140" w:line="290" w:lineRule="auto"/>
      <w:jc w:val="both"/>
      <w:outlineLvl w:val="1"/>
    </w:pPr>
    <w:rPr>
      <w:kern w:val="20"/>
    </w:rPr>
  </w:style>
  <w:style w:type="paragraph" w:customStyle="1" w:styleId="TCLevel3">
    <w:name w:val="T+C Level 3"/>
    <w:basedOn w:val="Normal"/>
    <w:rsid w:val="00097071"/>
    <w:pPr>
      <w:numPr>
        <w:ilvl w:val="2"/>
        <w:numId w:val="35"/>
      </w:numPr>
      <w:spacing w:after="140" w:line="290" w:lineRule="auto"/>
      <w:jc w:val="both"/>
      <w:outlineLvl w:val="2"/>
    </w:pPr>
    <w:rPr>
      <w:kern w:val="20"/>
    </w:rPr>
  </w:style>
  <w:style w:type="paragraph" w:customStyle="1" w:styleId="TCLevel4">
    <w:name w:val="T+C Level 4"/>
    <w:basedOn w:val="Normal"/>
    <w:rsid w:val="00097071"/>
    <w:pPr>
      <w:numPr>
        <w:ilvl w:val="3"/>
        <w:numId w:val="35"/>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097071"/>
    <w:pPr>
      <w:numPr>
        <w:ilvl w:val="6"/>
        <w:numId w:val="24"/>
      </w:numPr>
      <w:spacing w:after="140" w:line="290" w:lineRule="auto"/>
      <w:jc w:val="both"/>
      <w:outlineLvl w:val="6"/>
    </w:pPr>
    <w:rPr>
      <w:kern w:val="20"/>
    </w:rPr>
  </w:style>
  <w:style w:type="paragraph" w:customStyle="1" w:styleId="Level8">
    <w:name w:val="Level 8"/>
    <w:basedOn w:val="Normal"/>
    <w:rsid w:val="00097071"/>
    <w:pPr>
      <w:numPr>
        <w:ilvl w:val="7"/>
        <w:numId w:val="24"/>
      </w:numPr>
      <w:spacing w:after="140" w:line="290" w:lineRule="auto"/>
      <w:jc w:val="both"/>
      <w:outlineLvl w:val="7"/>
    </w:pPr>
    <w:rPr>
      <w:kern w:val="20"/>
    </w:rPr>
  </w:style>
  <w:style w:type="paragraph" w:customStyle="1" w:styleId="Level9">
    <w:name w:val="Level 9"/>
    <w:basedOn w:val="Normal"/>
    <w:rsid w:val="00097071"/>
    <w:pPr>
      <w:numPr>
        <w:ilvl w:val="8"/>
        <w:numId w:val="24"/>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6"/>
      </w:numPr>
      <w:spacing w:before="60" w:after="60" w:line="290" w:lineRule="auto"/>
      <w:outlineLvl w:val="0"/>
    </w:pPr>
    <w:rPr>
      <w:kern w:val="20"/>
    </w:rPr>
  </w:style>
  <w:style w:type="paragraph" w:customStyle="1" w:styleId="Table2">
    <w:name w:val="Table 2"/>
    <w:basedOn w:val="Normal"/>
    <w:rsid w:val="00097071"/>
    <w:pPr>
      <w:numPr>
        <w:ilvl w:val="1"/>
        <w:numId w:val="36"/>
      </w:numPr>
      <w:spacing w:before="60" w:after="60" w:line="290" w:lineRule="auto"/>
      <w:outlineLvl w:val="1"/>
    </w:pPr>
    <w:rPr>
      <w:kern w:val="20"/>
    </w:rPr>
  </w:style>
  <w:style w:type="paragraph" w:customStyle="1" w:styleId="Table3">
    <w:name w:val="Table 3"/>
    <w:basedOn w:val="Normal"/>
    <w:rsid w:val="00097071"/>
    <w:pPr>
      <w:numPr>
        <w:ilvl w:val="2"/>
        <w:numId w:val="36"/>
      </w:numPr>
      <w:spacing w:before="60" w:after="60" w:line="290" w:lineRule="auto"/>
      <w:outlineLvl w:val="2"/>
    </w:pPr>
    <w:rPr>
      <w:kern w:val="20"/>
    </w:rPr>
  </w:style>
  <w:style w:type="paragraph" w:customStyle="1" w:styleId="Table4">
    <w:name w:val="Table 4"/>
    <w:basedOn w:val="Normal"/>
    <w:rsid w:val="00097071"/>
    <w:pPr>
      <w:numPr>
        <w:ilvl w:val="3"/>
        <w:numId w:val="36"/>
      </w:numPr>
      <w:spacing w:before="60" w:after="60" w:line="290" w:lineRule="auto"/>
      <w:outlineLvl w:val="3"/>
    </w:pPr>
    <w:rPr>
      <w:kern w:val="20"/>
    </w:rPr>
  </w:style>
  <w:style w:type="paragraph" w:customStyle="1" w:styleId="Table5">
    <w:name w:val="Table 5"/>
    <w:basedOn w:val="Normal"/>
    <w:rsid w:val="00097071"/>
    <w:pPr>
      <w:numPr>
        <w:ilvl w:val="4"/>
        <w:numId w:val="36"/>
      </w:numPr>
      <w:spacing w:before="60" w:after="60" w:line="290" w:lineRule="auto"/>
      <w:outlineLvl w:val="4"/>
    </w:pPr>
    <w:rPr>
      <w:kern w:val="20"/>
    </w:rPr>
  </w:style>
  <w:style w:type="paragraph" w:customStyle="1" w:styleId="Table6">
    <w:name w:val="Table 6"/>
    <w:basedOn w:val="Normal"/>
    <w:rsid w:val="00097071"/>
    <w:pPr>
      <w:numPr>
        <w:ilvl w:val="5"/>
        <w:numId w:val="36"/>
      </w:numPr>
      <w:spacing w:before="60" w:after="60" w:line="290" w:lineRule="auto"/>
      <w:outlineLvl w:val="5"/>
    </w:pPr>
    <w:rPr>
      <w:kern w:val="20"/>
    </w:rPr>
  </w:style>
  <w:style w:type="paragraph" w:customStyle="1" w:styleId="Tablealpha">
    <w:name w:val="Table alpha"/>
    <w:basedOn w:val="CellBody"/>
    <w:rsid w:val="00097071"/>
    <w:pPr>
      <w:numPr>
        <w:numId w:val="37"/>
      </w:numPr>
    </w:pPr>
  </w:style>
  <w:style w:type="paragraph" w:customStyle="1" w:styleId="Tablebullet">
    <w:name w:val="Table bullet"/>
    <w:basedOn w:val="Normal"/>
    <w:rsid w:val="00097071"/>
    <w:pPr>
      <w:numPr>
        <w:numId w:val="38"/>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kern w:val="20"/>
      <w:szCs w:val="20"/>
    </w:rPr>
  </w:style>
  <w:style w:type="paragraph" w:customStyle="1" w:styleId="zFSco-names">
    <w:name w:val="zFSco-names"/>
    <w:basedOn w:val="Normal"/>
    <w:next w:val="zFSand"/>
    <w:rsid w:val="00097071"/>
    <w:pPr>
      <w:spacing w:before="120" w:after="120" w:line="290" w:lineRule="auto"/>
      <w:jc w:val="center"/>
    </w:pPr>
    <w:rPr>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kern w:val="20"/>
      <w:szCs w:val="20"/>
    </w:rPr>
  </w:style>
  <w:style w:type="paragraph" w:customStyle="1" w:styleId="zFSTitle">
    <w:name w:val="zFSTitle"/>
    <w:basedOn w:val="Normal"/>
    <w:next w:val="zFSNarrative"/>
    <w:rsid w:val="00097071"/>
    <w:pPr>
      <w:keepNext/>
      <w:spacing w:before="240" w:after="120" w:line="290" w:lineRule="auto"/>
      <w:jc w:val="center"/>
    </w:pPr>
    <w:rPr>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rFonts w:eastAsia="SimHei"/>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kern w:val="16"/>
      <w:sz w:val="16"/>
      <w:szCs w:val="16"/>
    </w:rPr>
  </w:style>
  <w:style w:type="paragraph" w:customStyle="1" w:styleId="UCAlpha1">
    <w:name w:val="UCAlpha 1"/>
    <w:basedOn w:val="Normal"/>
    <w:rsid w:val="00097071"/>
    <w:pPr>
      <w:numPr>
        <w:numId w:val="40"/>
      </w:numPr>
      <w:spacing w:after="140" w:line="290" w:lineRule="auto"/>
      <w:jc w:val="both"/>
    </w:pPr>
    <w:rPr>
      <w:kern w:val="20"/>
    </w:rPr>
  </w:style>
  <w:style w:type="paragraph" w:customStyle="1" w:styleId="UCAlpha2">
    <w:name w:val="UCAlpha 2"/>
    <w:basedOn w:val="Normal"/>
    <w:rsid w:val="00097071"/>
    <w:pPr>
      <w:numPr>
        <w:numId w:val="41"/>
      </w:numPr>
      <w:spacing w:after="140" w:line="290" w:lineRule="auto"/>
      <w:jc w:val="both"/>
    </w:pPr>
    <w:rPr>
      <w:kern w:val="20"/>
    </w:rPr>
  </w:style>
  <w:style w:type="paragraph" w:customStyle="1" w:styleId="UCAlpha3">
    <w:name w:val="UCAlpha 3"/>
    <w:basedOn w:val="Normal"/>
    <w:rsid w:val="00097071"/>
    <w:pPr>
      <w:numPr>
        <w:numId w:val="42"/>
      </w:numPr>
      <w:spacing w:after="140" w:line="290" w:lineRule="auto"/>
      <w:jc w:val="both"/>
    </w:pPr>
    <w:rPr>
      <w:kern w:val="20"/>
    </w:rPr>
  </w:style>
  <w:style w:type="paragraph" w:customStyle="1" w:styleId="UCAlpha4">
    <w:name w:val="UCAlpha 4"/>
    <w:basedOn w:val="Normal"/>
    <w:rsid w:val="00097071"/>
    <w:pPr>
      <w:numPr>
        <w:numId w:val="43"/>
      </w:numPr>
      <w:spacing w:after="140" w:line="290" w:lineRule="auto"/>
      <w:jc w:val="both"/>
    </w:pPr>
    <w:rPr>
      <w:kern w:val="20"/>
    </w:rPr>
  </w:style>
  <w:style w:type="paragraph" w:customStyle="1" w:styleId="UCAlpha5">
    <w:name w:val="UCAlpha 5"/>
    <w:basedOn w:val="Normal"/>
    <w:rsid w:val="00097071"/>
    <w:pPr>
      <w:numPr>
        <w:numId w:val="44"/>
      </w:numPr>
      <w:spacing w:after="140" w:line="290" w:lineRule="auto"/>
      <w:jc w:val="both"/>
    </w:pPr>
    <w:rPr>
      <w:kern w:val="20"/>
    </w:rPr>
  </w:style>
  <w:style w:type="paragraph" w:customStyle="1" w:styleId="UCAlpha6">
    <w:name w:val="UCAlpha 6"/>
    <w:basedOn w:val="Normal"/>
    <w:rsid w:val="00097071"/>
    <w:pPr>
      <w:numPr>
        <w:numId w:val="45"/>
      </w:numPr>
      <w:spacing w:after="140" w:line="290" w:lineRule="auto"/>
      <w:jc w:val="both"/>
    </w:pPr>
    <w:rPr>
      <w:kern w:val="20"/>
    </w:rPr>
  </w:style>
  <w:style w:type="paragraph" w:customStyle="1" w:styleId="UCRoman1">
    <w:name w:val="UCRoman 1"/>
    <w:basedOn w:val="Normal"/>
    <w:rsid w:val="00097071"/>
    <w:pPr>
      <w:numPr>
        <w:numId w:val="46"/>
      </w:numPr>
      <w:spacing w:after="140" w:line="290" w:lineRule="auto"/>
      <w:jc w:val="both"/>
    </w:pPr>
    <w:rPr>
      <w:kern w:val="20"/>
    </w:rPr>
  </w:style>
  <w:style w:type="paragraph" w:customStyle="1" w:styleId="UCRoman2">
    <w:name w:val="UCRoman 2"/>
    <w:basedOn w:val="Normal"/>
    <w:rsid w:val="00097071"/>
    <w:pPr>
      <w:numPr>
        <w:numId w:val="47"/>
      </w:numPr>
      <w:spacing w:after="140" w:line="290" w:lineRule="auto"/>
      <w:jc w:val="both"/>
    </w:pPr>
    <w:rPr>
      <w:kern w:val="20"/>
    </w:rPr>
  </w:style>
  <w:style w:type="paragraph" w:customStyle="1" w:styleId="doublealpha">
    <w:name w:val="double alpha"/>
    <w:basedOn w:val="Normal"/>
    <w:rsid w:val="00097071"/>
    <w:pPr>
      <w:numPr>
        <w:numId w:val="23"/>
      </w:numPr>
      <w:spacing w:after="140" w:line="290" w:lineRule="auto"/>
      <w:jc w:val="both"/>
    </w:pPr>
    <w:rPr>
      <w:kern w:val="20"/>
    </w:rPr>
  </w:style>
  <w:style w:type="paragraph" w:customStyle="1" w:styleId="ListNumbers">
    <w:name w:val="List Numbers"/>
    <w:basedOn w:val="Normal"/>
    <w:rsid w:val="00097071"/>
    <w:pPr>
      <w:numPr>
        <w:numId w:val="25"/>
      </w:numPr>
      <w:spacing w:after="140" w:line="290" w:lineRule="auto"/>
      <w:jc w:val="both"/>
      <w:outlineLvl w:val="0"/>
    </w:pPr>
    <w:rPr>
      <w:kern w:val="20"/>
    </w:rPr>
  </w:style>
  <w:style w:type="paragraph" w:customStyle="1" w:styleId="dashbullet1">
    <w:name w:val="dash bullet 1"/>
    <w:basedOn w:val="Normal"/>
    <w:rsid w:val="00097071"/>
    <w:pPr>
      <w:numPr>
        <w:numId w:val="17"/>
      </w:numPr>
      <w:spacing w:after="140" w:line="290" w:lineRule="auto"/>
      <w:jc w:val="both"/>
    </w:pPr>
    <w:rPr>
      <w:kern w:val="20"/>
    </w:rPr>
  </w:style>
  <w:style w:type="paragraph" w:customStyle="1" w:styleId="dashbullet2">
    <w:name w:val="dash bullet 2"/>
    <w:basedOn w:val="Normal"/>
    <w:rsid w:val="00097071"/>
    <w:pPr>
      <w:numPr>
        <w:numId w:val="18"/>
      </w:numPr>
      <w:spacing w:after="140" w:line="290" w:lineRule="auto"/>
      <w:jc w:val="both"/>
    </w:pPr>
    <w:rPr>
      <w:kern w:val="20"/>
    </w:rPr>
  </w:style>
  <w:style w:type="paragraph" w:customStyle="1" w:styleId="dashbullet3">
    <w:name w:val="dash bullet 3"/>
    <w:basedOn w:val="Normal"/>
    <w:rsid w:val="00097071"/>
    <w:pPr>
      <w:numPr>
        <w:numId w:val="19"/>
      </w:numPr>
      <w:spacing w:after="140" w:line="290" w:lineRule="auto"/>
      <w:jc w:val="both"/>
    </w:pPr>
    <w:rPr>
      <w:kern w:val="20"/>
    </w:rPr>
  </w:style>
  <w:style w:type="paragraph" w:customStyle="1" w:styleId="dashbullet4">
    <w:name w:val="dash bullet 4"/>
    <w:basedOn w:val="Normal"/>
    <w:rsid w:val="00097071"/>
    <w:pPr>
      <w:numPr>
        <w:numId w:val="20"/>
      </w:numPr>
      <w:spacing w:after="140" w:line="290" w:lineRule="auto"/>
      <w:jc w:val="both"/>
    </w:pPr>
    <w:rPr>
      <w:kern w:val="20"/>
    </w:rPr>
  </w:style>
  <w:style w:type="paragraph" w:customStyle="1" w:styleId="dashbullet5">
    <w:name w:val="dash bullet 5"/>
    <w:basedOn w:val="Normal"/>
    <w:rsid w:val="00097071"/>
    <w:pPr>
      <w:numPr>
        <w:numId w:val="21"/>
      </w:numPr>
      <w:spacing w:after="140" w:line="290" w:lineRule="auto"/>
      <w:jc w:val="both"/>
    </w:pPr>
    <w:rPr>
      <w:kern w:val="20"/>
    </w:rPr>
  </w:style>
  <w:style w:type="paragraph" w:customStyle="1" w:styleId="dashbullet6">
    <w:name w:val="dash bullet 6"/>
    <w:basedOn w:val="Normal"/>
    <w:rsid w:val="00097071"/>
    <w:pPr>
      <w:numPr>
        <w:numId w:val="22"/>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BBFF-E104-473A-A217-23311EFD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HouseStyle.dotx</Template>
  <TotalTime>502</TotalTime>
  <Pages>5</Pages>
  <Words>1311</Words>
  <Characters>1365</Characters>
  <Application>Microsoft Office Word</Application>
  <DocSecurity>0</DocSecurity>
  <Lines>54</Lines>
  <Paragraphs>47</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Any Authorised User</cp:lastModifiedBy>
  <cp:revision>103</cp:revision>
  <cp:lastPrinted>2020-11-25T05:19:00Z</cp:lastPrinted>
  <dcterms:created xsi:type="dcterms:W3CDTF">2017-11-10T03:11:00Z</dcterms:created>
  <dcterms:modified xsi:type="dcterms:W3CDTF">2021-10-20T07:05:00Z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inese">
    <vt:lpwstr>No</vt:lpwstr>
  </op:property>
  <op:property fmtid="{D5CDD505-2E9C-101B-9397-08002B2CF9AE}" pid="3" name="CoverPage">
    <vt:lpwstr>No</vt:lpwstr>
  </op:property>
  <op:property fmtid="{D5CDD505-2E9C-101B-9397-08002B2CF9AE}" pid="4" name="DEDocumentLocation">
    <vt:lpwstr>C:\Users\jstang\AppData\Local\Linklaters\DocExplorer\Attachments\A46000809 v2.2 05_上市公告_中文.docx</vt:lpwstr>
  </op:property>
  <op:property fmtid="{D5CDD505-2E9C-101B-9397-08002B2CF9AE}" pid="5" name="Document Number">
    <vt:lpwstr>A46000809</vt:lpwstr>
  </op:property>
  <op:property fmtid="{D5CDD505-2E9C-101B-9397-08002B2CF9AE}" pid="6" name="HeadPara">
    <vt:i4>1</vt:i4>
  </op:property>
  <op:property fmtid="{D5CDD505-2E9C-101B-9397-08002B2CF9AE}" pid="7" name="HouseStyle">
    <vt:lpwstr>2</vt:lpwstr>
  </op:property>
  <op:property fmtid="{D5CDD505-2E9C-101B-9397-08002B2CF9AE}" pid="8" name="HSChanged">
    <vt:lpwstr>No</vt:lpwstr>
  </op:property>
  <op:property fmtid="{D5CDD505-2E9C-101B-9397-08002B2CF9AE}" pid="9" name="Landscape">
    <vt:lpwstr/>
  </op:property>
  <op:property fmtid="{D5CDD505-2E9C-101B-9397-08002B2CF9AE}" pid="10" name="Language">
    <vt:lpwstr>English (U.K.)</vt:lpwstr>
  </op:property>
  <op:property fmtid="{D5CDD505-2E9C-101B-9397-08002B2CF9AE}" pid="11" name="Last Modified">
    <vt:lpwstr>20 Oct 2021</vt:lpwstr>
  </op:property>
  <op:property fmtid="{D5CDD505-2E9C-101B-9397-08002B2CF9AE}" pid="12" name="Lineleader">
    <vt:lpwstr>No</vt:lpwstr>
  </op:property>
  <op:property fmtid="{D5CDD505-2E9C-101B-9397-08002B2CF9AE}" pid="13" name="Mode">
    <vt:lpwstr>SendAs</vt:lpwstr>
  </op:property>
  <op:property fmtid="{D5CDD505-2E9C-101B-9397-08002B2CF9AE}" pid="14" name="PaperSize">
    <vt:lpwstr>A4</vt:lpwstr>
  </op:property>
  <op:property fmtid="{D5CDD505-2E9C-101B-9397-08002B2CF9AE}" pid="15" name="Template Version">
    <vt:lpwstr>R.160</vt:lpwstr>
  </op:property>
  <op:property fmtid="{D5CDD505-2E9C-101B-9397-08002B2CF9AE}" pid="16" name="TOCBold">
    <vt:lpwstr>Yes</vt:lpwstr>
  </op:property>
  <op:property fmtid="{D5CDD505-2E9C-101B-9397-08002B2CF9AE}" pid="17" name="TOCInsert">
    <vt:lpwstr>Yes</vt:lpwstr>
  </op:property>
  <op:property fmtid="{D5CDD505-2E9C-101B-9397-08002B2CF9AE}" pid="18" name="TOCString">
    <vt:lpwstr/>
  </op:property>
  <op:property fmtid="{D5CDD505-2E9C-101B-9397-08002B2CF9AE}" pid="19" name="Version">
    <vt:lpwstr>2.2</vt:lpwstr>
  </op:property>
  <op:property fmtid="{D5CDD505-2E9C-101B-9397-08002B2CF9AE}" pid="20" name="Client Code">
    <vt:lpwstr>10403486</vt:lpwstr>
  </op:property>
  <op:property fmtid="{D5CDD505-2E9C-101B-9397-08002B2CF9AE}" pid="21" name="Matter Number">
    <vt:lpwstr>L-314882</vt:lpwstr>
  </op:property>
  <op:property fmtid="{D5CDD505-2E9C-101B-9397-08002B2CF9AE}" pid="22" name="ObjectID">
    <vt:lpwstr>09001dc896449c9c</vt:lpwstr>
  </op:property>
  <op:property fmtid="{D5CDD505-2E9C-101B-9397-08002B2CF9AE}" pid="23" name="_MarkAsFinal">
    <vt:bool>false</vt:bool>
  </op:property>
</op:Properties>
</file>