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lang w:eastAsia="zh-TW"/>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E80915" w:rsidRPr="00E80915" w:rsidTr="00E80915">
        <w:trPr>
          <w:trHeight w:val="1290"/>
        </w:trPr>
        <w:tc>
          <w:tcPr>
            <w:tcW w:w="960" w:type="dxa"/>
            <w:shd w:val="clear" w:color="auto" w:fill="auto"/>
            <w:vAlign w:val="center"/>
            <w:hideMark/>
          </w:tcPr>
          <w:p w:rsidR="00E80915" w:rsidRPr="00E80915" w:rsidRDefault="00E80915" w:rsidP="00E80915">
            <w:pPr>
              <w:rPr>
                <w:rFonts w:ascii="MS Gothic" w:eastAsia="MS Gothic" w:hAnsi="MS Gothic" w:cs="Arial"/>
                <w:b/>
                <w:bCs/>
                <w:color w:val="000000"/>
                <w:sz w:val="20"/>
                <w:lang w:val="en-US" w:eastAsia="zh-TW"/>
              </w:rPr>
            </w:pPr>
            <w:bookmarkStart w:id="1" w:name="RANGE!AQ3:BC3"/>
            <w:bookmarkStart w:id="2" w:name="RANGE!AQ3"/>
            <w:bookmarkEnd w:id="2"/>
            <w:r w:rsidRPr="00E80915">
              <w:rPr>
                <w:rFonts w:ascii="MS Gothic" w:eastAsia="MS Gothic" w:hAnsi="MS Gothic" w:cs="Arial" w:hint="eastAsia"/>
                <w:b/>
                <w:bCs/>
                <w:color w:val="000000"/>
                <w:sz w:val="20"/>
                <w:lang w:val="en-US" w:eastAsia="zh-TW"/>
              </w:rPr>
              <w:lastRenderedPageBreak/>
              <w:t>股份代號</w:t>
            </w:r>
            <w:r w:rsidRPr="00E80915">
              <w:rPr>
                <w:rFonts w:eastAsia="MS Gothic"/>
                <w:b/>
                <w:bCs/>
                <w:color w:val="000000"/>
                <w:sz w:val="20"/>
                <w:lang w:val="en-US" w:eastAsia="zh-TW"/>
              </w:rPr>
              <w:t xml:space="preserve"> </w:t>
            </w:r>
            <w:bookmarkEnd w:id="1"/>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類別</w:t>
            </w:r>
            <w:r w:rsidRPr="00E80915">
              <w:rPr>
                <w:rFonts w:eastAsia="MS Gothic"/>
                <w:b/>
                <w:bCs/>
                <w:color w:val="000000"/>
                <w:sz w:val="20"/>
                <w:lang w:val="en-US" w:eastAsia="zh-TW"/>
              </w:rPr>
              <w:t xml:space="preserve"> </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相關資</w:t>
            </w:r>
            <w:r w:rsidRPr="00E80915">
              <w:rPr>
                <w:rFonts w:ascii="MingLiU" w:eastAsia="MingLiU" w:hAnsi="MingLiU" w:cs="Arial" w:hint="eastAsia"/>
                <w:b/>
                <w:bCs/>
                <w:color w:val="000000"/>
                <w:sz w:val="20"/>
                <w:lang w:val="en-US" w:eastAsia="zh-TW"/>
              </w:rPr>
              <w:t>產</w:t>
            </w:r>
            <w:r w:rsidRPr="00E80915">
              <w:rPr>
                <w:rFonts w:eastAsia="MS Gothic"/>
                <w:b/>
                <w:bCs/>
                <w:color w:val="000000"/>
                <w:sz w:val="20"/>
                <w:lang w:val="en-US" w:eastAsia="zh-TW"/>
              </w:rPr>
              <w:t xml:space="preserve"> </w:t>
            </w:r>
          </w:p>
        </w:tc>
        <w:tc>
          <w:tcPr>
            <w:tcW w:w="138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發行數量</w:t>
            </w:r>
            <w:r w:rsidRPr="00E80915">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SimSun" w:eastAsia="SimSun" w:hAnsi="SimSun" w:cs="Arial" w:hint="eastAsia"/>
                <w:b/>
                <w:bCs/>
                <w:color w:val="000000"/>
                <w:sz w:val="20"/>
                <w:lang w:val="en-US" w:eastAsia="zh-TW"/>
              </w:rPr>
              <w:t>每份</w:t>
            </w:r>
            <w:r w:rsidRPr="00E80915">
              <w:rPr>
                <w:rFonts w:ascii="MS Gothic" w:eastAsia="MS Gothic" w:hAnsi="MS Gothic" w:cs="Arial" w:hint="eastAsia"/>
                <w:b/>
                <w:bCs/>
                <w:color w:val="000000"/>
                <w:sz w:val="20"/>
                <w:lang w:val="en-US" w:eastAsia="zh-TW"/>
              </w:rPr>
              <w:t>權利之牛熊證數目</w:t>
            </w:r>
            <w:r w:rsidRPr="00E80915">
              <w:rPr>
                <w:rFonts w:eastAsia="MS Gothic"/>
                <w:b/>
                <w:bCs/>
                <w:color w:val="000000"/>
                <w:sz w:val="20"/>
                <w:lang w:val="en-US" w:eastAsia="zh-TW"/>
              </w:rPr>
              <w:t xml:space="preserve">   </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權利</w:t>
            </w:r>
            <w:r w:rsidRPr="00E80915">
              <w:rPr>
                <w:rFonts w:eastAsia="MS Gothic"/>
                <w:b/>
                <w:bCs/>
                <w:color w:val="000000"/>
                <w:sz w:val="20"/>
                <w:lang w:val="en-US" w:eastAsia="zh-TW"/>
              </w:rPr>
              <w:t xml:space="preserve"> </w:t>
            </w:r>
          </w:p>
        </w:tc>
        <w:tc>
          <w:tcPr>
            <w:tcW w:w="102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買賣單位</w:t>
            </w:r>
            <w:r w:rsidRPr="00E80915">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行使價</w:t>
            </w:r>
            <w:r w:rsidRPr="00E80915">
              <w:rPr>
                <w:rFonts w:eastAsia="MS Gothic"/>
                <w:b/>
                <w:bCs/>
                <w:color w:val="000000"/>
                <w:sz w:val="20"/>
                <w:lang w:val="en-US" w:eastAsia="zh-TW"/>
              </w:rPr>
              <w:t xml:space="preserve"> </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MS Gothic" w:eastAsia="MS Gothic" w:hAnsi="MS Gothic" w:cs="Arial" w:hint="eastAsia"/>
                <w:b/>
                <w:bCs/>
                <w:color w:val="000000"/>
                <w:sz w:val="20"/>
                <w:lang w:val="en-US" w:eastAsia="zh-TW"/>
              </w:rPr>
              <w:t>最高</w:t>
            </w:r>
            <w:r w:rsidRPr="00E80915">
              <w:rPr>
                <w:rFonts w:eastAsia="MS Gothic"/>
                <w:b/>
                <w:bCs/>
                <w:color w:val="000000"/>
                <w:sz w:val="20"/>
                <w:lang w:val="en-US" w:eastAsia="zh-TW"/>
              </w:rPr>
              <w:t>/</w:t>
            </w:r>
            <w:r w:rsidRPr="00E80915">
              <w:rPr>
                <w:rFonts w:ascii="MS Gothic" w:eastAsia="MS Gothic" w:hAnsi="MS Gothic" w:cs="Arial" w:hint="eastAsia"/>
                <w:b/>
                <w:bCs/>
                <w:color w:val="000000"/>
                <w:sz w:val="20"/>
                <w:lang w:val="en-US" w:eastAsia="zh-TW"/>
              </w:rPr>
              <w:t>最低交易價</w:t>
            </w:r>
            <w:r w:rsidRPr="00E80915">
              <w:rPr>
                <w:rFonts w:eastAsia="MS Gothic"/>
                <w:b/>
                <w:bCs/>
                <w:color w:val="000000"/>
                <w:sz w:val="20"/>
                <w:lang w:val="en-US" w:eastAsia="zh-TW"/>
              </w:rPr>
              <w:t xml:space="preserve"> </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SimSun" w:eastAsia="SimSun" w:hAnsi="SimSun" w:cs="Arial" w:hint="eastAsia"/>
                <w:b/>
                <w:bCs/>
                <w:color w:val="000000"/>
                <w:sz w:val="20"/>
                <w:lang w:val="en-US" w:eastAsia="zh-TW"/>
              </w:rPr>
              <w:t>每份牛熊證的剩餘價值</w:t>
            </w:r>
            <w:r w:rsidRPr="00E80915">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E80915" w:rsidRPr="00E80915" w:rsidRDefault="00E80915" w:rsidP="00E80915">
            <w:pPr>
              <w:rPr>
                <w:rFonts w:ascii="MS Gothic" w:eastAsia="MS Gothic" w:hAnsi="MS Gothic" w:cs="Arial" w:hint="eastAsia"/>
                <w:b/>
                <w:bCs/>
                <w:color w:val="000000"/>
                <w:sz w:val="20"/>
                <w:lang w:val="en-US" w:eastAsia="zh-TW"/>
              </w:rPr>
            </w:pPr>
            <w:r w:rsidRPr="00E80915">
              <w:rPr>
                <w:rFonts w:ascii="SimSun" w:eastAsia="SimSun" w:hAnsi="SimSun" w:cs="Arial" w:hint="eastAsia"/>
                <w:b/>
                <w:bCs/>
                <w:color w:val="000000"/>
                <w:sz w:val="20"/>
                <w:lang w:val="en-US" w:eastAsia="zh-TW"/>
              </w:rPr>
              <w:t>每</w:t>
            </w:r>
            <w:r w:rsidRPr="00E80915">
              <w:rPr>
                <w:rFonts w:ascii="MS Gothic" w:eastAsia="MS Gothic" w:hAnsi="MS Gothic" w:cs="Arial" w:hint="eastAsia"/>
                <w:b/>
                <w:bCs/>
                <w:color w:val="000000"/>
                <w:sz w:val="20"/>
                <w:lang w:val="en-US" w:eastAsia="zh-TW"/>
              </w:rPr>
              <w:t>手買賣單位的剩餘價</w:t>
            </w:r>
            <w:r w:rsidRPr="00E80915">
              <w:rPr>
                <w:rFonts w:ascii="MingLiU" w:eastAsia="MingLiU" w:hAnsi="MingLiU" w:cs="Arial" w:hint="eastAsia"/>
                <w:b/>
                <w:bCs/>
                <w:color w:val="000000"/>
                <w:sz w:val="20"/>
                <w:lang w:val="en-US" w:eastAsia="zh-TW"/>
              </w:rPr>
              <w:t>值</w:t>
            </w:r>
            <w:r w:rsidRPr="00E80915">
              <w:rPr>
                <w:rFonts w:eastAsia="MS Gothic"/>
                <w:b/>
                <w:bCs/>
                <w:color w:val="000000"/>
                <w:sz w:val="20"/>
                <w:lang w:val="en-US" w:eastAsia="zh-TW"/>
              </w:rPr>
              <w:t xml:space="preserve"> </w:t>
            </w:r>
          </w:p>
        </w:tc>
      </w:tr>
      <w:tr w:rsidR="00E80915" w:rsidRPr="00E80915" w:rsidTr="00E80915">
        <w:trPr>
          <w:trHeight w:val="1035"/>
        </w:trPr>
        <w:tc>
          <w:tcPr>
            <w:tcW w:w="960" w:type="dxa"/>
            <w:shd w:val="clear" w:color="auto" w:fill="auto"/>
            <w:vAlign w:val="center"/>
            <w:hideMark/>
          </w:tcPr>
          <w:p w:rsidR="00E80915" w:rsidRPr="00E80915" w:rsidRDefault="00E80915" w:rsidP="00E80915">
            <w:pPr>
              <w:jc w:val="right"/>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69939</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13時56分51秒</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2022年01月19日</w:t>
            </w:r>
          </w:p>
        </w:tc>
        <w:tc>
          <w:tcPr>
            <w:tcW w:w="960" w:type="dxa"/>
            <w:shd w:val="clear" w:color="auto" w:fill="auto"/>
            <w:vAlign w:val="center"/>
            <w:hideMark/>
          </w:tcPr>
          <w:p w:rsidR="00E80915" w:rsidRPr="00E80915" w:rsidRDefault="00E80915" w:rsidP="00E80915">
            <w:pPr>
              <w:rPr>
                <w:rFonts w:eastAsia="Times New Roman" w:hint="eastAsia"/>
                <w:color w:val="000000"/>
                <w:sz w:val="20"/>
                <w:lang w:val="en-US" w:eastAsia="zh-TW"/>
              </w:rPr>
            </w:pPr>
            <w:r w:rsidRPr="00E80915">
              <w:rPr>
                <w:rFonts w:ascii="PMingLiU" w:hAnsi="PMingLiU" w:cs="PMingLiU"/>
                <w:color w:val="000000"/>
                <w:sz w:val="20"/>
                <w:lang w:val="en-US" w:eastAsia="zh-TW"/>
              </w:rPr>
              <w:t>阿里巴巴集團控股有限公司</w:t>
            </w:r>
          </w:p>
        </w:tc>
        <w:tc>
          <w:tcPr>
            <w:tcW w:w="1380" w:type="dxa"/>
            <w:shd w:val="clear" w:color="auto" w:fill="auto"/>
            <w:vAlign w:val="center"/>
            <w:hideMark/>
          </w:tcPr>
          <w:p w:rsidR="00E80915" w:rsidRPr="00E80915" w:rsidRDefault="00E80915" w:rsidP="00E80915">
            <w:pPr>
              <w:rPr>
                <w:rFonts w:ascii="MS Gothic" w:eastAsia="MS Gothic" w:hAnsi="MS Gothic" w:cs="Arial"/>
                <w:color w:val="000000"/>
                <w:sz w:val="20"/>
                <w:lang w:val="en-US" w:eastAsia="zh-TW"/>
              </w:rPr>
            </w:pPr>
            <w:r w:rsidRPr="00E80915">
              <w:rPr>
                <w:rFonts w:ascii="MS Gothic" w:eastAsia="MS Gothic" w:hAnsi="MS Gothic" w:cs="Arial" w:hint="eastAsia"/>
                <w:color w:val="000000"/>
                <w:sz w:val="20"/>
                <w:lang w:val="en-US" w:eastAsia="zh-TW"/>
              </w:rPr>
              <w:t>60,000,000 份</w:t>
            </w:r>
          </w:p>
        </w:tc>
        <w:tc>
          <w:tcPr>
            <w:tcW w:w="960" w:type="dxa"/>
            <w:shd w:val="clear" w:color="auto" w:fill="auto"/>
            <w:vAlign w:val="center"/>
            <w:hideMark/>
          </w:tcPr>
          <w:p w:rsidR="00E80915" w:rsidRPr="00E80915" w:rsidRDefault="00E80915" w:rsidP="00E80915">
            <w:pPr>
              <w:jc w:val="right"/>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121.38 港元</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123.50 港元</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0.0212 港元</w:t>
            </w:r>
          </w:p>
        </w:tc>
        <w:tc>
          <w:tcPr>
            <w:tcW w:w="960" w:type="dxa"/>
            <w:shd w:val="clear" w:color="auto" w:fill="auto"/>
            <w:vAlign w:val="center"/>
            <w:hideMark/>
          </w:tcPr>
          <w:p w:rsidR="00E80915" w:rsidRPr="00E80915" w:rsidRDefault="00E80915" w:rsidP="00E80915">
            <w:pPr>
              <w:rPr>
                <w:rFonts w:ascii="MS Gothic" w:eastAsia="MS Gothic" w:hAnsi="MS Gothic" w:cs="Arial" w:hint="eastAsia"/>
                <w:color w:val="000000"/>
                <w:sz w:val="20"/>
                <w:lang w:val="en-US" w:eastAsia="zh-TW"/>
              </w:rPr>
            </w:pPr>
            <w:r w:rsidRPr="00E80915">
              <w:rPr>
                <w:rFonts w:ascii="MS Gothic" w:eastAsia="MS Gothic" w:hAnsi="MS Gothic" w:cs="Arial" w:hint="eastAsia"/>
                <w:color w:val="000000"/>
                <w:sz w:val="20"/>
                <w:lang w:val="en-US" w:eastAsia="zh-TW"/>
              </w:rPr>
              <w:t>212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E80915">
              <w:rPr>
                <w:rFonts w:ascii="PMingLiU" w:hAnsi="Calibri" w:cs="PMingLiU"/>
                <w:sz w:val="22"/>
                <w:szCs w:val="22"/>
                <w:lang w:val="en-US"/>
              </w:rPr>
              <w:t>2022年01月25日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E80915">
              <w:rPr>
                <w:rFonts w:ascii="PMingLiU" w:cs="PMingLiU"/>
                <w:sz w:val="22"/>
                <w:szCs w:val="22"/>
                <w:lang w:val="en-US"/>
              </w:rPr>
              <w:t>2022年01月20日</w:t>
            </w:r>
          </w:p>
        </w:tc>
      </w:tr>
    </w:tbl>
    <w:p w:rsidR="00D90FD5" w:rsidRDefault="00D90FD5" w:rsidP="007547A8">
      <w:pPr>
        <w:jc w:val="center"/>
      </w:pPr>
    </w:p>
    <w:sectPr w:rsidR="00D90FD5" w:rsidSect="00D90FD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CB7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868F3"/>
    <w:rsid w:val="001D70E5"/>
    <w:rsid w:val="00202FD6"/>
    <w:rsid w:val="002337C8"/>
    <w:rsid w:val="00273DBD"/>
    <w:rsid w:val="002C013E"/>
    <w:rsid w:val="002C445E"/>
    <w:rsid w:val="00316558"/>
    <w:rsid w:val="00345DE7"/>
    <w:rsid w:val="00356A66"/>
    <w:rsid w:val="00375A77"/>
    <w:rsid w:val="003F6236"/>
    <w:rsid w:val="0041448F"/>
    <w:rsid w:val="004179A9"/>
    <w:rsid w:val="00441039"/>
    <w:rsid w:val="00452699"/>
    <w:rsid w:val="00457DEC"/>
    <w:rsid w:val="00470F88"/>
    <w:rsid w:val="004A32F4"/>
    <w:rsid w:val="004E52FF"/>
    <w:rsid w:val="00505DC8"/>
    <w:rsid w:val="00532610"/>
    <w:rsid w:val="005517FC"/>
    <w:rsid w:val="00601964"/>
    <w:rsid w:val="00671467"/>
    <w:rsid w:val="006A0FD6"/>
    <w:rsid w:val="006E1995"/>
    <w:rsid w:val="00706E6E"/>
    <w:rsid w:val="0072376F"/>
    <w:rsid w:val="00752D53"/>
    <w:rsid w:val="007547A8"/>
    <w:rsid w:val="007740B9"/>
    <w:rsid w:val="0078702C"/>
    <w:rsid w:val="007A4A77"/>
    <w:rsid w:val="00966AF8"/>
    <w:rsid w:val="0098219A"/>
    <w:rsid w:val="009D7FA1"/>
    <w:rsid w:val="009F2B0C"/>
    <w:rsid w:val="00A75F9D"/>
    <w:rsid w:val="00A937BD"/>
    <w:rsid w:val="00AA5CF8"/>
    <w:rsid w:val="00AE6E39"/>
    <w:rsid w:val="00B00DA2"/>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1015E"/>
    <w:rsid w:val="00D353D5"/>
    <w:rsid w:val="00D4685F"/>
    <w:rsid w:val="00D65B4A"/>
    <w:rsid w:val="00D71783"/>
    <w:rsid w:val="00D873FF"/>
    <w:rsid w:val="00D90FD5"/>
    <w:rsid w:val="00D94128"/>
    <w:rsid w:val="00DA1DC0"/>
    <w:rsid w:val="00E269C6"/>
    <w:rsid w:val="00E62DC1"/>
    <w:rsid w:val="00E80915"/>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421F-24AB-4397-9FB5-450E03CB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PUBLIC -</dc:description>
  <cp:lastModifiedBy>Daniel Lo</cp:lastModifiedBy>
  <cp:revision>2</cp:revision>
  <dcterms:created xsi:type="dcterms:W3CDTF">2022-01-20T04:03:00Z</dcterms:created>
  <dcterms:modified xsi:type="dcterms:W3CDTF">2022-01-20T04:03:00Z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